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B3D1" w14:textId="77777777" w:rsidR="007E32B6" w:rsidRPr="0035640D" w:rsidRDefault="007E32B6">
      <w:pPr>
        <w:spacing w:line="276" w:lineRule="auto"/>
        <w:rPr>
          <w:rFonts w:ascii="Aptos" w:hAnsi="Aptos" w:cs="Arial"/>
        </w:rPr>
      </w:pPr>
    </w:p>
    <w:p w14:paraId="67403409" w14:textId="77777777" w:rsidR="007E32B6" w:rsidRPr="0035640D" w:rsidRDefault="0095488E">
      <w:pPr>
        <w:pStyle w:val="berschrift1"/>
        <w:spacing w:line="276" w:lineRule="auto"/>
        <w:jc w:val="center"/>
        <w:rPr>
          <w:rFonts w:ascii="Aptos" w:hAnsi="Aptos" w:cs="Arial"/>
          <w:b/>
          <w:bCs/>
          <w:color w:val="8CBBAD"/>
          <w:sz w:val="56"/>
          <w:szCs w:val="56"/>
        </w:rPr>
      </w:pPr>
      <w:bookmarkStart w:id="0" w:name="_Toc1"/>
      <w:bookmarkStart w:id="1" w:name="_Toc120716629"/>
      <w:bookmarkStart w:id="2" w:name="_Toc121484735"/>
      <w:bookmarkStart w:id="3" w:name="_Toc121491941"/>
      <w:bookmarkStart w:id="4" w:name="_Toc143682020"/>
      <w:bookmarkStart w:id="5" w:name="_Toc143682055"/>
      <w:bookmarkStart w:id="6" w:name="_Toc146876992"/>
      <w:bookmarkStart w:id="7" w:name="_Toc152310406"/>
      <w:bookmarkStart w:id="8" w:name="_Toc174714129"/>
      <w:bookmarkStart w:id="9" w:name="_Toc183784228"/>
      <w:bookmarkStart w:id="10" w:name="_Toc209070836"/>
      <w:bookmarkStart w:id="11" w:name="_Toc211502010"/>
      <w:r w:rsidRPr="0035640D">
        <w:rPr>
          <w:rFonts w:ascii="Aptos" w:hAnsi="Aptos" w:cs="Arial"/>
          <w:b/>
          <w:bCs/>
          <w:color w:val="8CBBAD"/>
          <w:sz w:val="56"/>
          <w:szCs w:val="56"/>
        </w:rPr>
        <w:t>Aktionsplan 202</w:t>
      </w:r>
      <w:bookmarkEnd w:id="0"/>
      <w:bookmarkEnd w:id="1"/>
      <w:bookmarkEnd w:id="2"/>
      <w:bookmarkEnd w:id="3"/>
      <w:bookmarkEnd w:id="4"/>
      <w:bookmarkEnd w:id="5"/>
      <w:bookmarkEnd w:id="6"/>
      <w:bookmarkEnd w:id="7"/>
      <w:bookmarkEnd w:id="8"/>
      <w:bookmarkEnd w:id="9"/>
      <w:r w:rsidRPr="0035640D">
        <w:rPr>
          <w:rFonts w:ascii="Aptos" w:hAnsi="Aptos" w:cs="Arial"/>
          <w:b/>
          <w:bCs/>
          <w:color w:val="8CBBAD"/>
          <w:sz w:val="56"/>
          <w:szCs w:val="56"/>
        </w:rPr>
        <w:t>6</w:t>
      </w:r>
      <w:bookmarkEnd w:id="10"/>
      <w:bookmarkEnd w:id="11"/>
    </w:p>
    <w:p w14:paraId="251938AE" w14:textId="77777777" w:rsidR="007E32B6" w:rsidRPr="0035640D" w:rsidRDefault="007E32B6">
      <w:pPr>
        <w:spacing w:line="276" w:lineRule="auto"/>
        <w:jc w:val="center"/>
        <w:rPr>
          <w:rFonts w:ascii="Aptos" w:hAnsi="Aptos" w:cs="Arial"/>
        </w:rPr>
      </w:pPr>
    </w:p>
    <w:p w14:paraId="53A024E8" w14:textId="77777777" w:rsidR="007E32B6" w:rsidRPr="0035640D" w:rsidRDefault="0095488E">
      <w:pPr>
        <w:spacing w:line="276" w:lineRule="auto"/>
        <w:jc w:val="center"/>
        <w:rPr>
          <w:rFonts w:ascii="Aptos" w:hAnsi="Aptos" w:cs="Arial"/>
        </w:rPr>
      </w:pPr>
      <w:r w:rsidRPr="0035640D">
        <w:rPr>
          <w:rFonts w:ascii="Aptos" w:hAnsi="Aptos"/>
          <w:noProof/>
        </w:rPr>
        <w:drawing>
          <wp:inline distT="0" distB="0" distL="0" distR="0" wp14:anchorId="07E0CA05" wp14:editId="55B2CD33">
            <wp:extent cx="4679950" cy="3521710"/>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8"/>
                    <a:srcRect t="26017" b="20738"/>
                    <a:stretch>
                      <a:fillRect/>
                    </a:stretch>
                  </pic:blipFill>
                  <pic:spPr bwMode="auto">
                    <a:xfrm>
                      <a:off x="0" y="0"/>
                      <a:ext cx="4679950" cy="3521710"/>
                    </a:xfrm>
                    <a:prstGeom prst="rect">
                      <a:avLst/>
                    </a:prstGeom>
                    <a:noFill/>
                  </pic:spPr>
                </pic:pic>
              </a:graphicData>
            </a:graphic>
          </wp:inline>
        </w:drawing>
      </w:r>
    </w:p>
    <w:p w14:paraId="41B4ACE0" w14:textId="77777777" w:rsidR="007E32B6" w:rsidRPr="0035640D" w:rsidRDefault="007E32B6">
      <w:pPr>
        <w:spacing w:line="276" w:lineRule="auto"/>
        <w:rPr>
          <w:rFonts w:ascii="Aptos" w:hAnsi="Aptos" w:cs="Arial"/>
        </w:rPr>
      </w:pPr>
    </w:p>
    <w:p w14:paraId="4B58E9FC" w14:textId="1A19EA53" w:rsidR="007E32B6" w:rsidRPr="0035640D" w:rsidRDefault="0095488E">
      <w:pPr>
        <w:spacing w:line="276" w:lineRule="auto"/>
        <w:jc w:val="center"/>
        <w:rPr>
          <w:rFonts w:ascii="Aptos" w:hAnsi="Aptos" w:cs="Arial"/>
          <w:color w:val="8CBBAD"/>
          <w:sz w:val="28"/>
          <w:szCs w:val="28"/>
        </w:rPr>
      </w:pPr>
      <w:r w:rsidRPr="0035640D">
        <w:rPr>
          <w:rFonts w:ascii="Aptos" w:hAnsi="Aptos" w:cs="Arial"/>
          <w:b/>
          <w:bCs/>
          <w:color w:val="8CBBAD"/>
          <w:sz w:val="28"/>
          <w:szCs w:val="28"/>
        </w:rPr>
        <w:t>ENTWURF</w:t>
      </w:r>
      <w:r w:rsidRPr="0035640D">
        <w:rPr>
          <w:rFonts w:ascii="Aptos" w:hAnsi="Aptos" w:cs="Arial"/>
          <w:b/>
          <w:bCs/>
          <w:color w:val="8CBBAD"/>
          <w:sz w:val="28"/>
          <w:szCs w:val="28"/>
        </w:rPr>
        <w:br/>
      </w:r>
      <w:r w:rsidRPr="0035640D">
        <w:rPr>
          <w:rFonts w:ascii="Aptos" w:hAnsi="Aptos" w:cs="Arial"/>
          <w:color w:val="8CBBAD"/>
          <w:sz w:val="28"/>
          <w:szCs w:val="28"/>
        </w:rPr>
        <w:t xml:space="preserve">(Stand </w:t>
      </w:r>
      <w:r w:rsidR="000025B6">
        <w:rPr>
          <w:rFonts w:ascii="Aptos" w:hAnsi="Aptos" w:cs="Arial"/>
          <w:color w:val="8CBBAD"/>
          <w:sz w:val="28"/>
          <w:szCs w:val="28"/>
        </w:rPr>
        <w:t>16</w:t>
      </w:r>
      <w:r w:rsidRPr="0035640D">
        <w:rPr>
          <w:rFonts w:ascii="Aptos" w:hAnsi="Aptos" w:cs="Arial"/>
          <w:color w:val="8CBBAD"/>
          <w:sz w:val="28"/>
          <w:szCs w:val="28"/>
        </w:rPr>
        <w:t>. Oktober 2025)</w:t>
      </w:r>
    </w:p>
    <w:p w14:paraId="2D1555DE" w14:textId="77777777" w:rsidR="007E32B6" w:rsidRPr="0035640D" w:rsidRDefault="007E32B6">
      <w:pPr>
        <w:spacing w:line="276" w:lineRule="auto"/>
        <w:rPr>
          <w:rFonts w:ascii="Aptos" w:hAnsi="Aptos" w:cs="Arial"/>
        </w:rPr>
      </w:pPr>
    </w:p>
    <w:p w14:paraId="268C0004" w14:textId="77777777" w:rsidR="007E32B6" w:rsidRPr="0035640D" w:rsidRDefault="007E32B6">
      <w:pPr>
        <w:spacing w:line="276" w:lineRule="auto"/>
        <w:rPr>
          <w:rFonts w:ascii="Aptos" w:hAnsi="Aptos" w:cs="Arial"/>
        </w:rPr>
      </w:pPr>
    </w:p>
    <w:sdt>
      <w:sdtPr>
        <w:rPr>
          <w:rFonts w:ascii="Aptos" w:hAnsi="Aptos"/>
        </w:rPr>
        <w:id w:val="-2000880390"/>
        <w:docPartObj>
          <w:docPartGallery w:val="Table of Contents"/>
          <w:docPartUnique/>
        </w:docPartObj>
      </w:sdtPr>
      <w:sdtContent>
        <w:p w14:paraId="6C814953" w14:textId="5A3EA94C" w:rsidR="000B0EA6" w:rsidRPr="000B0EA6" w:rsidRDefault="0095488E">
          <w:pPr>
            <w:pStyle w:val="Verzeichnis1"/>
            <w:tabs>
              <w:tab w:val="right" w:leader="dot" w:pos="9061"/>
            </w:tabs>
            <w:rPr>
              <w:rFonts w:ascii="Aptos" w:eastAsiaTheme="minorEastAsia" w:hAnsi="Aptos"/>
              <w:noProof/>
              <w:kern w:val="2"/>
              <w:lang w:eastAsia="de-CH"/>
              <w14:ligatures w14:val="standardContextual"/>
            </w:rPr>
          </w:pPr>
          <w:r w:rsidRPr="000B0EA6">
            <w:fldChar w:fldCharType="begin"/>
          </w:r>
          <w:r w:rsidRPr="000B0EA6">
            <w:rPr>
              <w:rFonts w:ascii="Aptos" w:eastAsia="Arial" w:hAnsi="Aptos"/>
              <w:kern w:val="2"/>
              <w:lang w:eastAsia="de-CH"/>
            </w:rPr>
            <w:instrText xml:space="preserve"> TOC \z \o "1-3" \u \h</w:instrText>
          </w:r>
          <w:r w:rsidRPr="000B0EA6">
            <w:rPr>
              <w:rFonts w:eastAsia="Arial"/>
              <w:kern w:val="2"/>
              <w:lang w:eastAsia="de-CH"/>
            </w:rPr>
            <w:fldChar w:fldCharType="separate"/>
          </w:r>
          <w:hyperlink w:anchor="_Toc211502011" w:history="1">
            <w:r w:rsidR="000B0EA6" w:rsidRPr="000B0EA6">
              <w:rPr>
                <w:rStyle w:val="Hyperlink"/>
                <w:rFonts w:ascii="Aptos" w:hAnsi="Aptos" w:cs="Arial"/>
                <w:b/>
                <w:bCs/>
                <w:noProof/>
              </w:rPr>
              <w:t>Einleitung und Betriebliches</w:t>
            </w:r>
            <w:r w:rsidR="000B0EA6" w:rsidRPr="000B0EA6">
              <w:rPr>
                <w:rFonts w:ascii="Aptos" w:hAnsi="Aptos"/>
                <w:noProof/>
                <w:webHidden/>
              </w:rPr>
              <w:tab/>
            </w:r>
            <w:r w:rsidR="000B0EA6" w:rsidRPr="000B0EA6">
              <w:rPr>
                <w:rFonts w:ascii="Aptos" w:hAnsi="Aptos"/>
                <w:noProof/>
                <w:webHidden/>
              </w:rPr>
              <w:fldChar w:fldCharType="begin"/>
            </w:r>
            <w:r w:rsidR="000B0EA6" w:rsidRPr="000B0EA6">
              <w:rPr>
                <w:rFonts w:ascii="Aptos" w:hAnsi="Aptos"/>
                <w:noProof/>
                <w:webHidden/>
              </w:rPr>
              <w:instrText xml:space="preserve"> PAGEREF _Toc211502011 \h </w:instrText>
            </w:r>
            <w:r w:rsidR="000B0EA6" w:rsidRPr="000B0EA6">
              <w:rPr>
                <w:rFonts w:ascii="Aptos" w:hAnsi="Aptos"/>
                <w:noProof/>
                <w:webHidden/>
              </w:rPr>
            </w:r>
            <w:r w:rsidR="000B0EA6" w:rsidRPr="000B0EA6">
              <w:rPr>
                <w:rFonts w:ascii="Aptos" w:hAnsi="Aptos"/>
                <w:noProof/>
                <w:webHidden/>
              </w:rPr>
              <w:fldChar w:fldCharType="separate"/>
            </w:r>
            <w:r w:rsidR="002568FB">
              <w:rPr>
                <w:rFonts w:ascii="Aptos" w:hAnsi="Aptos"/>
                <w:noProof/>
                <w:webHidden/>
              </w:rPr>
              <w:t>2</w:t>
            </w:r>
            <w:r w:rsidR="000B0EA6" w:rsidRPr="000B0EA6">
              <w:rPr>
                <w:rFonts w:ascii="Aptos" w:hAnsi="Aptos"/>
                <w:noProof/>
                <w:webHidden/>
              </w:rPr>
              <w:fldChar w:fldCharType="end"/>
            </w:r>
          </w:hyperlink>
        </w:p>
        <w:p w14:paraId="36E6DEE1" w14:textId="4117513B" w:rsidR="000B0EA6" w:rsidRPr="000B0EA6" w:rsidRDefault="000B0EA6">
          <w:pPr>
            <w:pStyle w:val="Verzeichnis1"/>
            <w:tabs>
              <w:tab w:val="right" w:leader="dot" w:pos="9061"/>
            </w:tabs>
            <w:rPr>
              <w:rFonts w:ascii="Aptos" w:eastAsiaTheme="minorEastAsia" w:hAnsi="Aptos"/>
              <w:noProof/>
              <w:kern w:val="2"/>
              <w:lang w:eastAsia="de-CH"/>
              <w14:ligatures w14:val="standardContextual"/>
            </w:rPr>
          </w:pPr>
          <w:hyperlink w:anchor="_Toc211502012" w:history="1">
            <w:r w:rsidRPr="000B0EA6">
              <w:rPr>
                <w:rStyle w:val="Hyperlink"/>
                <w:rFonts w:ascii="Aptos" w:hAnsi="Aptos" w:cs="Arial"/>
                <w:b/>
                <w:bCs/>
                <w:noProof/>
              </w:rPr>
              <w:t>Aktionsplan 2026</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_Toc211502012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3</w:t>
            </w:r>
            <w:r w:rsidRPr="000B0EA6">
              <w:rPr>
                <w:rFonts w:ascii="Aptos" w:hAnsi="Aptos"/>
                <w:noProof/>
                <w:webHidden/>
              </w:rPr>
              <w:fldChar w:fldCharType="end"/>
            </w:r>
          </w:hyperlink>
        </w:p>
        <w:p w14:paraId="52011C9A" w14:textId="6D8D9BC0"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3" w:history="1">
            <w:r w:rsidRPr="000B0EA6">
              <w:rPr>
                <w:rStyle w:val="Hyperlink"/>
                <w:rFonts w:ascii="Aptos" w:hAnsi="Aptos"/>
                <w:noProof/>
              </w:rPr>
              <w:t xml:space="preserve">Aktionsfeld 1: </w:t>
            </w:r>
            <w:r w:rsidRPr="000B0EA6">
              <w:rPr>
                <w:rStyle w:val="Hyperlink"/>
                <w:rFonts w:ascii="Aptos" w:hAnsi="Aptos"/>
                <w:b/>
                <w:noProof/>
              </w:rPr>
              <w:t>Ökosystem Geoinformation fördern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_Toc211502013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3</w:t>
            </w:r>
            <w:r w:rsidRPr="000B0EA6">
              <w:rPr>
                <w:rFonts w:ascii="Aptos" w:hAnsi="Aptos"/>
                <w:noProof/>
                <w:webHidden/>
              </w:rPr>
              <w:fldChar w:fldCharType="end"/>
            </w:r>
          </w:hyperlink>
        </w:p>
        <w:p w14:paraId="0FB32900" w14:textId="60D7EAC8"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4" w:history="1">
            <w:r w:rsidRPr="000B0EA6">
              <w:rPr>
                <w:rStyle w:val="Hyperlink"/>
                <w:rFonts w:ascii="Aptos" w:hAnsi="Aptos"/>
                <w:noProof/>
              </w:rPr>
              <w:t xml:space="preserve">Aktionsfeld 2: </w:t>
            </w:r>
            <w:r w:rsidRPr="000B0EA6">
              <w:rPr>
                <w:rStyle w:val="Hyperlink"/>
                <w:rFonts w:ascii="Aptos" w:hAnsi="Aptos"/>
                <w:b/>
                <w:noProof/>
              </w:rPr>
              <w:t>Geodaten verknüpfen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_Toc211502014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5</w:t>
            </w:r>
            <w:r w:rsidRPr="000B0EA6">
              <w:rPr>
                <w:rFonts w:ascii="Aptos" w:hAnsi="Aptos"/>
                <w:noProof/>
                <w:webHidden/>
              </w:rPr>
              <w:fldChar w:fldCharType="end"/>
            </w:r>
          </w:hyperlink>
        </w:p>
        <w:p w14:paraId="67388B70" w14:textId="60DFE73B"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5" w:history="1">
            <w:r w:rsidRPr="000B0EA6">
              <w:rPr>
                <w:rStyle w:val="Hyperlink"/>
                <w:rFonts w:ascii="Aptos" w:hAnsi="Aptos"/>
                <w:noProof/>
              </w:rPr>
              <w:t xml:space="preserve">Aktionsfeld 3: </w:t>
            </w:r>
            <w:r w:rsidRPr="000B0EA6">
              <w:rPr>
                <w:rStyle w:val="Hyperlink"/>
                <w:rFonts w:ascii="Aptos" w:hAnsi="Aptos"/>
                <w:b/>
                <w:noProof/>
              </w:rPr>
              <w:t>Prozesse erleichtern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_Toc211502015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7</w:t>
            </w:r>
            <w:r w:rsidRPr="000B0EA6">
              <w:rPr>
                <w:rFonts w:ascii="Aptos" w:hAnsi="Aptos"/>
                <w:noProof/>
                <w:webHidden/>
              </w:rPr>
              <w:fldChar w:fldCharType="end"/>
            </w:r>
          </w:hyperlink>
        </w:p>
        <w:p w14:paraId="7F4A287E" w14:textId="645BCFA5"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6" w:history="1">
            <w:r w:rsidRPr="000B0EA6">
              <w:rPr>
                <w:rStyle w:val="Hyperlink"/>
                <w:rFonts w:ascii="Aptos" w:hAnsi="Aptos"/>
                <w:noProof/>
              </w:rPr>
              <w:t xml:space="preserve">Aktionsfeld 4: </w:t>
            </w:r>
            <w:r w:rsidRPr="000B0EA6">
              <w:rPr>
                <w:rStyle w:val="Hyperlink"/>
                <w:rFonts w:ascii="Aptos" w:hAnsi="Aptos"/>
                <w:b/>
                <w:noProof/>
              </w:rPr>
              <w:t>Geodata Science entwickeln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_Toc211502016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9</w:t>
            </w:r>
            <w:r w:rsidRPr="000B0EA6">
              <w:rPr>
                <w:rFonts w:ascii="Aptos" w:hAnsi="Aptos"/>
                <w:noProof/>
                <w:webHidden/>
              </w:rPr>
              <w:fldChar w:fldCharType="end"/>
            </w:r>
          </w:hyperlink>
        </w:p>
        <w:p w14:paraId="5B005DB0" w14:textId="15B03D1A"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7" w:history="1">
            <w:r w:rsidRPr="000B0EA6">
              <w:rPr>
                <w:rStyle w:val="Hyperlink"/>
                <w:rFonts w:ascii="Aptos" w:hAnsi="Aptos"/>
                <w:noProof/>
              </w:rPr>
              <w:t xml:space="preserve">Aktionsfeld 5: </w:t>
            </w:r>
            <w:r w:rsidRPr="000B0EA6">
              <w:rPr>
                <w:rStyle w:val="Hyperlink"/>
                <w:rFonts w:ascii="Aptos" w:hAnsi="Aptos"/>
                <w:b/>
                <w:noProof/>
              </w:rPr>
              <w:t>Innovation fördern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_Toc211502017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9</w:t>
            </w:r>
            <w:r w:rsidRPr="000B0EA6">
              <w:rPr>
                <w:rFonts w:ascii="Aptos" w:hAnsi="Aptos"/>
                <w:noProof/>
                <w:webHidden/>
              </w:rPr>
              <w:fldChar w:fldCharType="end"/>
            </w:r>
          </w:hyperlink>
        </w:p>
        <w:p w14:paraId="381702C7" w14:textId="0CF9DA60"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8" w:history="1">
            <w:r w:rsidRPr="000B0EA6">
              <w:rPr>
                <w:rStyle w:val="Hyperlink"/>
                <w:rFonts w:ascii="Aptos" w:hAnsi="Aptos"/>
                <w:noProof/>
              </w:rPr>
              <w:t xml:space="preserve">Aktionsfeld 6: </w:t>
            </w:r>
            <w:r w:rsidRPr="000B0EA6">
              <w:rPr>
                <w:rStyle w:val="Hyperlink"/>
                <w:rFonts w:ascii="Aptos" w:hAnsi="Aptos"/>
                <w:b/>
                <w:noProof/>
              </w:rPr>
              <w:t>Kompetenzen aufbauen und stärken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_Toc211502018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11</w:t>
            </w:r>
            <w:r w:rsidRPr="000B0EA6">
              <w:rPr>
                <w:rFonts w:ascii="Aptos" w:hAnsi="Aptos"/>
                <w:noProof/>
                <w:webHidden/>
              </w:rPr>
              <w:fldChar w:fldCharType="end"/>
            </w:r>
          </w:hyperlink>
        </w:p>
        <w:p w14:paraId="65D25DF6" w14:textId="48B78F4F" w:rsidR="000B0EA6" w:rsidRPr="000B0EA6" w:rsidRDefault="000B0EA6">
          <w:pPr>
            <w:pStyle w:val="Verzeichnis3"/>
            <w:tabs>
              <w:tab w:val="right" w:leader="dot" w:pos="9061"/>
            </w:tabs>
            <w:rPr>
              <w:rFonts w:ascii="Aptos" w:eastAsiaTheme="minorEastAsia" w:hAnsi="Aptos"/>
              <w:noProof/>
              <w:kern w:val="2"/>
              <w:lang w:eastAsia="de-CH"/>
              <w14:ligatures w14:val="standardContextual"/>
            </w:rPr>
          </w:pPr>
          <w:hyperlink w:anchor="_Toc211502019" w:history="1">
            <w:r w:rsidRPr="000B0EA6">
              <w:rPr>
                <w:rStyle w:val="Hyperlink"/>
                <w:rFonts w:ascii="Aptos" w:hAnsi="Aptos"/>
                <w:noProof/>
              </w:rPr>
              <w:t xml:space="preserve">Aktionsfeld 7: </w:t>
            </w:r>
            <w:r w:rsidRPr="000B0EA6">
              <w:rPr>
                <w:rStyle w:val="Hyperlink"/>
                <w:rFonts w:ascii="Aptos" w:hAnsi="Aptos"/>
                <w:b/>
                <w:noProof/>
              </w:rPr>
              <w:t>Digitale Plattformen weiterentwickeln</w:t>
            </w:r>
            <w:r w:rsidRPr="000B0EA6">
              <w:rPr>
                <w:rFonts w:ascii="Aptos" w:hAnsi="Aptos"/>
                <w:noProof/>
                <w:webHidden/>
              </w:rPr>
              <w:tab/>
            </w:r>
            <w:r w:rsidRPr="000B0EA6">
              <w:rPr>
                <w:rFonts w:ascii="Aptos" w:hAnsi="Aptos"/>
                <w:noProof/>
                <w:webHidden/>
              </w:rPr>
              <w:fldChar w:fldCharType="begin"/>
            </w:r>
            <w:r w:rsidRPr="000B0EA6">
              <w:rPr>
                <w:rFonts w:ascii="Aptos" w:hAnsi="Aptos"/>
                <w:noProof/>
                <w:webHidden/>
              </w:rPr>
              <w:instrText xml:space="preserve"> PAGEREF _Toc211502019 \h </w:instrText>
            </w:r>
            <w:r w:rsidRPr="000B0EA6">
              <w:rPr>
                <w:rFonts w:ascii="Aptos" w:hAnsi="Aptos"/>
                <w:noProof/>
                <w:webHidden/>
              </w:rPr>
            </w:r>
            <w:r w:rsidRPr="000B0EA6">
              <w:rPr>
                <w:rFonts w:ascii="Aptos" w:hAnsi="Aptos"/>
                <w:noProof/>
                <w:webHidden/>
              </w:rPr>
              <w:fldChar w:fldCharType="separate"/>
            </w:r>
            <w:r w:rsidR="002568FB">
              <w:rPr>
                <w:rFonts w:ascii="Aptos" w:hAnsi="Aptos"/>
                <w:noProof/>
                <w:webHidden/>
              </w:rPr>
              <w:t>12</w:t>
            </w:r>
            <w:r w:rsidRPr="000B0EA6">
              <w:rPr>
                <w:rFonts w:ascii="Aptos" w:hAnsi="Aptos"/>
                <w:noProof/>
                <w:webHidden/>
              </w:rPr>
              <w:fldChar w:fldCharType="end"/>
            </w:r>
          </w:hyperlink>
        </w:p>
        <w:p w14:paraId="389A9FFC" w14:textId="526BA61E" w:rsidR="007E32B6" w:rsidRPr="000B0EA6" w:rsidRDefault="0095488E">
          <w:pPr>
            <w:pStyle w:val="Verzeichnis3"/>
            <w:tabs>
              <w:tab w:val="right" w:leader="dot" w:pos="9061"/>
            </w:tabs>
            <w:rPr>
              <w:rFonts w:ascii="Aptos" w:eastAsiaTheme="minorEastAsia" w:hAnsi="Aptos"/>
              <w:kern w:val="2"/>
              <w:lang w:eastAsia="de-CH"/>
              <w14:ligatures w14:val="standardContextual"/>
            </w:rPr>
          </w:pPr>
          <w:r w:rsidRPr="000B0EA6">
            <w:rPr>
              <w:rStyle w:val="IndexLink"/>
              <w:rFonts w:ascii="Aptos" w:hAnsi="Aptos"/>
            </w:rPr>
            <w:fldChar w:fldCharType="end"/>
          </w:r>
        </w:p>
      </w:sdtContent>
    </w:sdt>
    <w:p w14:paraId="1EF8687B" w14:textId="77777777" w:rsidR="007E32B6" w:rsidRPr="0035640D" w:rsidRDefault="007E32B6">
      <w:pPr>
        <w:rPr>
          <w:rFonts w:ascii="Aptos" w:hAnsi="Aptos" w:cs="Arial"/>
        </w:rPr>
      </w:pPr>
    </w:p>
    <w:p w14:paraId="3ACCF9AC" w14:textId="77777777" w:rsidR="007E32B6" w:rsidRPr="0035640D" w:rsidRDefault="0095488E">
      <w:pPr>
        <w:pStyle w:val="berschrift1"/>
        <w:tabs>
          <w:tab w:val="left" w:pos="2472"/>
        </w:tabs>
        <w:spacing w:before="480" w:after="240" w:line="276" w:lineRule="auto"/>
        <w:rPr>
          <w:rFonts w:ascii="Aptos" w:hAnsi="Aptos" w:cs="Arial"/>
          <w:b/>
          <w:bCs/>
          <w:color w:val="8CBBAD"/>
        </w:rPr>
      </w:pPr>
      <w:bookmarkStart w:id="12" w:name="_Toc211502011"/>
      <w:r w:rsidRPr="0035640D">
        <w:rPr>
          <w:rFonts w:ascii="Aptos" w:hAnsi="Aptos" w:cs="Arial"/>
          <w:b/>
          <w:bCs/>
          <w:color w:val="8CBBAD"/>
        </w:rPr>
        <w:lastRenderedPageBreak/>
        <w:t>Einleitung und Betriebliches</w:t>
      </w:r>
      <w:bookmarkEnd w:id="12"/>
    </w:p>
    <w:p w14:paraId="6492FDCB" w14:textId="77777777" w:rsidR="007E32B6" w:rsidRPr="0035640D" w:rsidRDefault="0095488E">
      <w:pPr>
        <w:spacing w:line="276" w:lineRule="auto"/>
        <w:rPr>
          <w:rFonts w:ascii="Aptos" w:hAnsi="Aptos" w:cs="Arial"/>
        </w:rPr>
      </w:pPr>
      <w:bookmarkStart w:id="13" w:name="_Ref119397575"/>
      <w:bookmarkStart w:id="14" w:name="_Ref120714660"/>
      <w:bookmarkEnd w:id="13"/>
      <w:r w:rsidRPr="0035640D">
        <w:rPr>
          <w:rFonts w:ascii="Aptos" w:hAnsi="Aptos" w:cs="Arial"/>
        </w:rPr>
        <w:t xml:space="preserve">Der vorliegende </w:t>
      </w:r>
      <w:r w:rsidRPr="0035640D">
        <w:rPr>
          <w:rFonts w:ascii="Aptos" w:hAnsi="Aptos" w:cs="Arial"/>
          <w:b/>
          <w:bCs/>
        </w:rPr>
        <w:t>Aktionsplan</w:t>
      </w:r>
      <w:r w:rsidRPr="0035640D">
        <w:rPr>
          <w:rFonts w:ascii="Aptos" w:hAnsi="Aptos" w:cs="Arial"/>
        </w:rPr>
        <w:t xml:space="preserve"> 2026 (AP26) zur </w:t>
      </w:r>
      <w:r w:rsidRPr="0035640D">
        <w:rPr>
          <w:rFonts w:ascii="Aptos" w:hAnsi="Aptos" w:cs="Arial"/>
          <w:b/>
        </w:rPr>
        <w:t>Umsetzung der Strategie Geoinformation Schweiz</w:t>
      </w:r>
      <w:r w:rsidRPr="0035640D">
        <w:rPr>
          <w:rFonts w:ascii="Aptos" w:hAnsi="Aptos" w:cs="Arial"/>
        </w:rPr>
        <w:t xml:space="preserve"> (SGS) löst den vorangehenden Aktionsplan 2025 ab. Weiterzuführende Aktionen wurden übernommen. Der AP26 wurde im Rahmen der SGS-Organisation von involvierten Stakeholdern gemeinsam erarbeitet. Alle in den AP26 aufgenommenen Aktionen sind beschrieben und mit der </w:t>
      </w:r>
      <w:r w:rsidRPr="0035640D">
        <w:rPr>
          <w:rFonts w:ascii="Aptos" w:hAnsi="Aptos" w:cs="Arial"/>
          <w:b/>
          <w:bCs/>
        </w:rPr>
        <w:t>Roadmap</w:t>
      </w:r>
      <w:r w:rsidRPr="0035640D">
        <w:rPr>
          <w:rFonts w:ascii="Aptos" w:hAnsi="Aptos" w:cs="Arial"/>
        </w:rPr>
        <w:t xml:space="preserve"> abgestimmt. Mittels Erfüllungskriterien wird die Zielerreichung nachgewiesen.</w:t>
      </w:r>
      <w:bookmarkEnd w:id="14"/>
    </w:p>
    <w:p w14:paraId="761F4B6E" w14:textId="4FAAEFD3" w:rsidR="007E32B6" w:rsidRPr="0035640D" w:rsidRDefault="0095488E">
      <w:pPr>
        <w:spacing w:line="276" w:lineRule="auto"/>
        <w:rPr>
          <w:rFonts w:ascii="Aptos" w:hAnsi="Aptos" w:cs="Arial"/>
        </w:rPr>
      </w:pPr>
      <w:r w:rsidRPr="0035640D">
        <w:rPr>
          <w:rFonts w:ascii="Aptos" w:hAnsi="Aptos" w:cs="Arial"/>
        </w:rPr>
        <w:t xml:space="preserve">Im Rahmen der Strategieumsetzung werden </w:t>
      </w:r>
      <w:r w:rsidRPr="0035640D">
        <w:rPr>
          <w:rFonts w:ascii="Aptos" w:hAnsi="Aptos" w:cs="Arial"/>
          <w:b/>
          <w:bCs/>
        </w:rPr>
        <w:t>Tätigkeiten</w:t>
      </w:r>
      <w:r w:rsidRPr="0035640D">
        <w:rPr>
          <w:rFonts w:ascii="Aptos" w:hAnsi="Aptos" w:cs="Arial"/>
        </w:rPr>
        <w:t xml:space="preserve"> definiert, die </w:t>
      </w:r>
      <w:r w:rsidRPr="0035640D">
        <w:rPr>
          <w:rFonts w:ascii="Aptos" w:hAnsi="Aptos" w:cs="Arial"/>
          <w:b/>
          <w:bCs/>
        </w:rPr>
        <w:t>betrieblich geleistet</w:t>
      </w:r>
      <w:r w:rsidRPr="0035640D">
        <w:rPr>
          <w:rFonts w:ascii="Aptos" w:hAnsi="Aptos" w:cs="Arial"/>
        </w:rPr>
        <w:t xml:space="preserve"> werden und nicht in der jährlichen Aktionsplanung stehen. Sie stellen sicher, dass die Umsetzung der Strategie langfristig gewährleistet und mit koordinativen und administrativen Tätigkeiten optimal unterstützt wird. Auftraggeber/</w:t>
      </w:r>
      <w:proofErr w:type="spellStart"/>
      <w:r w:rsidRPr="00B22600">
        <w:rPr>
          <w:rFonts w:ascii="Aptos" w:hAnsi="Aptos" w:cs="Arial"/>
        </w:rPr>
        <w:t>Product</w:t>
      </w:r>
      <w:proofErr w:type="spellEnd"/>
      <w:r w:rsidRPr="00B22600">
        <w:rPr>
          <w:rFonts w:ascii="Aptos" w:hAnsi="Aptos" w:cs="Arial"/>
        </w:rPr>
        <w:t xml:space="preserve"> </w:t>
      </w:r>
      <w:proofErr w:type="spellStart"/>
      <w:r w:rsidRPr="00B22600">
        <w:rPr>
          <w:rFonts w:ascii="Aptos" w:hAnsi="Aptos" w:cs="Arial"/>
        </w:rPr>
        <w:t>Owner</w:t>
      </w:r>
      <w:proofErr w:type="spellEnd"/>
      <w:r w:rsidRPr="0035640D">
        <w:rPr>
          <w:rFonts w:ascii="Aptos" w:hAnsi="Aptos" w:cs="Arial"/>
        </w:rPr>
        <w:t xml:space="preserve"> sind zu bestimmen und die erforderlichen Betriebsmittel sind bereitzustellen. Diese Tätigkeiten sind in den SGS-Gremien verankert und laufen im Rahmen der SGS-Prozesse (Portfoliomanagement, Reporting etc.). Das Ressourcengerüst der Aufgaben ist regelmässig zu überprüfen. </w:t>
      </w:r>
      <w:r w:rsidR="00BF1A26">
        <w:rPr>
          <w:rFonts w:ascii="Aptos" w:hAnsi="Aptos" w:cs="Arial"/>
        </w:rPr>
        <w:t>Die allgemeinen Betriebstätigkeiten umfassen:</w:t>
      </w:r>
    </w:p>
    <w:p w14:paraId="299DB060"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b/>
          <w:bCs/>
        </w:rPr>
        <w:t>Gesamtkoordination</w:t>
      </w:r>
      <w:r w:rsidRPr="0035640D">
        <w:rPr>
          <w:rFonts w:ascii="Aptos" w:hAnsi="Aptos" w:cs="Arial"/>
        </w:rPr>
        <w:t xml:space="preserve"> der Umsetzungstätigkeiten, Entwicklung der Roadmap, Erarbeitung des jährlichen Aktionsplans, </w:t>
      </w:r>
      <w:r w:rsidRPr="0035640D">
        <w:rPr>
          <w:rFonts w:ascii="Aptos" w:hAnsi="Aptos" w:cs="Arial"/>
          <w:b/>
          <w:bCs/>
        </w:rPr>
        <w:t>Projektportfoliomanagement</w:t>
      </w:r>
      <w:r w:rsidRPr="0035640D">
        <w:rPr>
          <w:rFonts w:ascii="Aptos" w:hAnsi="Aptos" w:cs="Arial"/>
        </w:rPr>
        <w:t xml:space="preserve"> inklusive Erfolgskontrolle sowie </w:t>
      </w:r>
      <w:r w:rsidRPr="0035640D">
        <w:rPr>
          <w:rFonts w:ascii="Aptos" w:hAnsi="Aptos" w:cs="Arial"/>
          <w:b/>
          <w:bCs/>
        </w:rPr>
        <w:t>Organisationsentwicklung</w:t>
      </w:r>
      <w:r w:rsidRPr="0035640D">
        <w:rPr>
          <w:rFonts w:ascii="Aptos" w:hAnsi="Aptos" w:cs="Arial"/>
        </w:rPr>
        <w:t xml:space="preserve"> (Office-Leitung mit Office).</w:t>
      </w:r>
    </w:p>
    <w:p w14:paraId="21841EA1"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rPr>
        <w:t>Projektadministration, Vertragswesen, Projektmonitoring und -</w:t>
      </w:r>
      <w:proofErr w:type="spellStart"/>
      <w:r w:rsidRPr="0035640D">
        <w:rPr>
          <w:rFonts w:ascii="Aptos" w:hAnsi="Aptos" w:cs="Arial"/>
        </w:rPr>
        <w:t>reporting</w:t>
      </w:r>
      <w:proofErr w:type="spellEnd"/>
      <w:r w:rsidRPr="0035640D">
        <w:rPr>
          <w:rFonts w:ascii="Aptos" w:hAnsi="Aptos" w:cs="Arial"/>
        </w:rPr>
        <w:t xml:space="preserve"> (</w:t>
      </w:r>
      <w:r w:rsidRPr="0035640D">
        <w:rPr>
          <w:rFonts w:ascii="Aptos" w:hAnsi="Aptos" w:cs="Arial"/>
          <w:b/>
          <w:bCs/>
        </w:rPr>
        <w:t>Backoffice</w:t>
      </w:r>
      <w:r w:rsidRPr="0035640D">
        <w:rPr>
          <w:rFonts w:ascii="Aptos" w:hAnsi="Aptos" w:cs="Arial"/>
        </w:rPr>
        <w:t>).</w:t>
      </w:r>
    </w:p>
    <w:p w14:paraId="6497D277"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rPr>
        <w:t xml:space="preserve">Umfassende </w:t>
      </w:r>
      <w:r w:rsidRPr="0035640D">
        <w:rPr>
          <w:rFonts w:ascii="Aptos" w:hAnsi="Aptos" w:cs="Arial"/>
          <w:b/>
          <w:bCs/>
        </w:rPr>
        <w:t>Kommunikation</w:t>
      </w:r>
      <w:r w:rsidRPr="0035640D">
        <w:rPr>
          <w:rFonts w:ascii="Aptos" w:hAnsi="Aptos" w:cs="Arial"/>
        </w:rPr>
        <w:t xml:space="preserve"> der Strategieumsetzung.</w:t>
      </w:r>
    </w:p>
    <w:p w14:paraId="2F72001D" w14:textId="4F8FE6F3"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b/>
          <w:bCs/>
        </w:rPr>
        <w:t>Geschäftsführung GeoStandards.ch</w:t>
      </w:r>
      <w:r w:rsidRPr="0035640D">
        <w:rPr>
          <w:rFonts w:ascii="Aptos" w:hAnsi="Aptos" w:cs="Arial"/>
        </w:rPr>
        <w:t xml:space="preserve"> gemäss Vereinbarung: laufende Tätigkeiten der Standardisierung und der Koordination, insbesondere in den Bereichen Geostandardisierung, Pflege und Entwicklung der modellbasierten Methode (INTERLIS-Sprache und Software-Werkzeuge) und der Aus- und Weiterbildung dazu. Laufende Wartung/Pflege der Software-Werkzeuge.</w:t>
      </w:r>
      <w:r w:rsidR="00BF1A26">
        <w:rPr>
          <w:rFonts w:ascii="Aptos" w:hAnsi="Aptos" w:cs="Arial"/>
        </w:rPr>
        <w:t xml:space="preserve"> </w:t>
      </w:r>
      <w:r w:rsidRPr="0035640D">
        <w:rPr>
          <w:rFonts w:ascii="Aptos" w:hAnsi="Aptos" w:cs="Arial"/>
        </w:rPr>
        <w:t>Projekte werden gemäss eigener Detailprojektliste, finanziert über ein SGS-Jahresbudget und gesteuert durch den Steuerungsausschuss von GeoStandards.ch, ausgeführt.</w:t>
      </w:r>
    </w:p>
    <w:p w14:paraId="437B2D0E" w14:textId="77777777" w:rsidR="007E32B6" w:rsidRPr="0035640D" w:rsidRDefault="0095488E">
      <w:pPr>
        <w:tabs>
          <w:tab w:val="left" w:pos="284"/>
        </w:tabs>
        <w:spacing w:line="276" w:lineRule="auto"/>
        <w:rPr>
          <w:rFonts w:ascii="Aptos" w:hAnsi="Aptos" w:cs="Arial"/>
        </w:rPr>
      </w:pPr>
      <w:r w:rsidRPr="0035640D">
        <w:rPr>
          <w:rFonts w:ascii="Aptos" w:hAnsi="Aptos" w:cs="Arial"/>
        </w:rPr>
        <w:t>Weitere, spezifisch einem Aktionsfeld zugeordnete betriebliche Tätigkeiten folgen unten.</w:t>
      </w:r>
    </w:p>
    <w:p w14:paraId="25D89C03" w14:textId="6BBF41E6" w:rsidR="007E32B6" w:rsidRPr="0035640D" w:rsidRDefault="0095488E">
      <w:pPr>
        <w:spacing w:line="276" w:lineRule="auto"/>
        <w:rPr>
          <w:rFonts w:ascii="Aptos" w:hAnsi="Aptos" w:cs="Arial"/>
        </w:rPr>
      </w:pPr>
      <w:r w:rsidRPr="0035640D">
        <w:rPr>
          <w:rFonts w:ascii="Aptos" w:hAnsi="Aptos" w:cs="Arial"/>
        </w:rPr>
        <w:t xml:space="preserve">Neben den im AP26 definierten, durch die zweckgebundenen Mittel finanzierten und vom SGS-Management oder dem SGS-Office gesteuerten Aktionen gibt es </w:t>
      </w:r>
      <w:r w:rsidRPr="0035640D">
        <w:rPr>
          <w:rFonts w:ascii="Aptos" w:hAnsi="Aptos" w:cs="Arial"/>
          <w:b/>
          <w:bCs/>
        </w:rPr>
        <w:t>Partnervorhaben</w:t>
      </w:r>
      <w:r w:rsidRPr="0035640D">
        <w:rPr>
          <w:rFonts w:ascii="Aptos" w:hAnsi="Aptos" w:cs="Arial"/>
        </w:rPr>
        <w:t>, welche unter dem Schirm von SGS laufen, jedoch in Sachen Steuerung, Ausführung und Finanzierung primär unabhängig organisiert sind. Die nötige Koordination und die Ausrichtung der Partnervorhaben an den strategischen Zielen werden sichergestellt. Vonseiten SGS Gremien kann nur indirekt auf die Projektziele und deren Umsetzung Einfluss genommen werden. Beispiele für Partnervorhaben sind der Leitungskataster Schweiz LKCH oder Georegister.</w:t>
      </w:r>
    </w:p>
    <w:p w14:paraId="01E5F915" w14:textId="77777777" w:rsidR="007E32B6" w:rsidRPr="0035640D" w:rsidRDefault="0095488E">
      <w:pPr>
        <w:spacing w:line="276" w:lineRule="auto"/>
        <w:rPr>
          <w:rFonts w:ascii="Aptos" w:hAnsi="Aptos" w:cs="Arial"/>
        </w:rPr>
      </w:pPr>
      <w:r w:rsidRPr="0035640D">
        <w:rPr>
          <w:rFonts w:ascii="Aptos" w:hAnsi="Aptos"/>
        </w:rPr>
        <w:br w:type="page"/>
      </w:r>
    </w:p>
    <w:p w14:paraId="6E9153DF" w14:textId="77777777" w:rsidR="007E32B6" w:rsidRPr="0035640D" w:rsidRDefault="0095488E">
      <w:pPr>
        <w:pStyle w:val="berschrift1"/>
        <w:spacing w:before="0" w:after="240" w:line="276" w:lineRule="auto"/>
        <w:rPr>
          <w:rFonts w:ascii="Aptos" w:hAnsi="Aptos" w:cs="Arial"/>
          <w:b/>
          <w:bCs/>
          <w:color w:val="8CBBAD"/>
        </w:rPr>
      </w:pPr>
      <w:bookmarkStart w:id="15" w:name="_Ref120714569"/>
      <w:bookmarkStart w:id="16" w:name="_Ref119430061"/>
      <w:bookmarkStart w:id="17" w:name="_Toc211502012"/>
      <w:r w:rsidRPr="0035640D">
        <w:rPr>
          <w:rFonts w:ascii="Aptos" w:hAnsi="Aptos" w:cs="Arial"/>
          <w:b/>
          <w:bCs/>
          <w:color w:val="8CBBAD"/>
        </w:rPr>
        <w:lastRenderedPageBreak/>
        <w:t>Aktionsplan 202</w:t>
      </w:r>
      <w:bookmarkEnd w:id="15"/>
      <w:bookmarkEnd w:id="16"/>
      <w:r w:rsidRPr="0035640D">
        <w:rPr>
          <w:rFonts w:ascii="Aptos" w:hAnsi="Aptos" w:cs="Arial"/>
          <w:b/>
          <w:bCs/>
          <w:color w:val="8CBBAD"/>
        </w:rPr>
        <w:t>6</w:t>
      </w:r>
      <w:bookmarkEnd w:id="17"/>
    </w:p>
    <w:p w14:paraId="584B8986" w14:textId="77777777" w:rsidR="007E32B6" w:rsidRPr="0035640D" w:rsidRDefault="0095488E">
      <w:pPr>
        <w:pStyle w:val="berschrift3"/>
        <w:rPr>
          <w:rFonts w:ascii="Aptos" w:hAnsi="Aptos"/>
          <w:b/>
        </w:rPr>
      </w:pPr>
      <w:bookmarkStart w:id="18" w:name="_Toc211502013"/>
      <w:r w:rsidRPr="0035640D">
        <w:rPr>
          <w:rFonts w:ascii="Aptos" w:hAnsi="Aptos"/>
        </w:rPr>
        <w:t xml:space="preserve">Aktionsfeld 1: </w:t>
      </w:r>
      <w:r w:rsidRPr="0035640D">
        <w:rPr>
          <w:rFonts w:ascii="Aptos" w:hAnsi="Aptos"/>
          <w:b/>
        </w:rPr>
        <w:t>Ökosystem Geoinformation fördern</w:t>
      </w:r>
      <w:bookmarkEnd w:id="18"/>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7113B396" w14:textId="77777777">
        <w:trPr>
          <w:trHeight w:val="719"/>
        </w:trPr>
        <w:tc>
          <w:tcPr>
            <w:tcW w:w="907" w:type="dxa"/>
            <w:shd w:val="clear" w:color="auto" w:fill="BFBFBF" w:themeFill="background1" w:themeFillShade="BF"/>
          </w:tcPr>
          <w:p w14:paraId="64E7BFA8"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1-25-1</w:t>
            </w:r>
          </w:p>
        </w:tc>
        <w:tc>
          <w:tcPr>
            <w:tcW w:w="8447" w:type="dxa"/>
            <w:gridSpan w:val="2"/>
            <w:shd w:val="clear" w:color="auto" w:fill="F2F2F2" w:themeFill="background1" w:themeFillShade="F2"/>
          </w:tcPr>
          <w:p w14:paraId="29B0720A"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Cs/>
                <w:iCs/>
                <w:color w:val="000000" w:themeColor="text1"/>
              </w:rPr>
              <w:t xml:space="preserve">Die langfristige </w:t>
            </w:r>
            <w:r w:rsidRPr="0035640D">
              <w:rPr>
                <w:rFonts w:ascii="Aptos" w:eastAsia="Calibri" w:hAnsi="Aptos" w:cs="Arial"/>
                <w:b/>
                <w:iCs/>
                <w:color w:val="000000" w:themeColor="text1"/>
              </w:rPr>
              <w:t>NGDI-Organisation und -</w:t>
            </w:r>
            <w:proofErr w:type="spellStart"/>
            <w:r w:rsidRPr="0035640D">
              <w:rPr>
                <w:rFonts w:ascii="Aptos" w:eastAsia="Calibri" w:hAnsi="Aptos" w:cs="Arial"/>
                <w:b/>
                <w:iCs/>
                <w:color w:val="000000" w:themeColor="text1"/>
              </w:rPr>
              <w:t>Governance</w:t>
            </w:r>
            <w:proofErr w:type="spellEnd"/>
            <w:r w:rsidRPr="0035640D">
              <w:rPr>
                <w:rFonts w:ascii="Aptos" w:eastAsia="Calibri" w:hAnsi="Aptos" w:cs="Arial"/>
                <w:bCs/>
                <w:iCs/>
                <w:color w:val="000000" w:themeColor="text1"/>
              </w:rPr>
              <w:t xml:space="preserve"> sind festgelegt und die </w:t>
            </w:r>
            <w:r w:rsidRPr="0035640D">
              <w:rPr>
                <w:rFonts w:ascii="Aptos" w:eastAsia="Calibri" w:hAnsi="Aptos" w:cs="Arial"/>
                <w:b/>
                <w:iCs/>
                <w:color w:val="000000" w:themeColor="text1"/>
              </w:rPr>
              <w:t>agile Entwicklung</w:t>
            </w:r>
            <w:r w:rsidRPr="0035640D">
              <w:rPr>
                <w:rFonts w:ascii="Aptos" w:eastAsia="Calibri" w:hAnsi="Aptos" w:cs="Arial"/>
                <w:bCs/>
                <w:iCs/>
                <w:color w:val="000000" w:themeColor="text1"/>
              </w:rPr>
              <w:t xml:space="preserve"> ist gewährleistet</w:t>
            </w:r>
            <w:r w:rsidRPr="0035640D">
              <w:rPr>
                <w:rFonts w:ascii="Aptos" w:eastAsia="Calibri" w:hAnsi="Aptos" w:cs="Arial"/>
                <w:iCs/>
                <w:color w:val="000000" w:themeColor="text1"/>
              </w:rPr>
              <w:t>.</w:t>
            </w:r>
          </w:p>
        </w:tc>
      </w:tr>
      <w:tr w:rsidR="007E32B6" w:rsidRPr="0035640D" w14:paraId="17A0AB36" w14:textId="77777777">
        <w:trPr>
          <w:trHeight w:val="60"/>
        </w:trPr>
        <w:tc>
          <w:tcPr>
            <w:tcW w:w="9354" w:type="dxa"/>
            <w:gridSpan w:val="3"/>
          </w:tcPr>
          <w:p w14:paraId="1BDD660C"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Die SGS-Umsetzung hat zum Ziel, die NGDI weiterzuentwickeln und benötigt im Hinblick auf die langfristige, agile Zusammenarbeit und die Befähigung zur Wahrnehmung betrieblicher Aufgaben eine geeignete Organisationsform. Mögliche Zusammenarbeitsvarianten zwischen Bund und Kantonen (mit Einbezug der Gemeinden) sowie allfällig erforderliche Rechtsgrundlagen werden dazu evaluiert. Ein Massnahmenkatalog zur Umsetzung einer anforderungsgerechten, agilen Organisation wird ausgearbeitet, in der Folge bewertet und die Implementation wird gestartet. Die </w:t>
            </w:r>
            <w:r w:rsidRPr="0035640D">
              <w:rPr>
                <w:rFonts w:ascii="Aptos" w:eastAsia="Calibri" w:hAnsi="Aptos" w:cs="Arial"/>
                <w:color w:val="000000" w:themeColor="text1"/>
                <w:sz w:val="20"/>
                <w:szCs w:val="20"/>
              </w:rPr>
              <w:t>Umsetzung und weitere Organisationsentwicklung werden nach Abschluss der Aktion als betriebliche Tätigkeit weitergeführt.</w:t>
            </w:r>
          </w:p>
        </w:tc>
      </w:tr>
      <w:tr w:rsidR="007E32B6" w:rsidRPr="0035640D" w14:paraId="48170D09" w14:textId="77777777">
        <w:trPr>
          <w:trHeight w:val="680"/>
        </w:trPr>
        <w:tc>
          <w:tcPr>
            <w:tcW w:w="9354" w:type="dxa"/>
            <w:gridSpan w:val="3"/>
          </w:tcPr>
          <w:p w14:paraId="09D4E9B9"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Noch keine Integration von Akteuren ausserhalb der öffentlichen Verwaltung, allenfalls als Fernziel. Diese Aktion wird 2026 wie vorgesehen weitergeführt.</w:t>
            </w:r>
          </w:p>
        </w:tc>
      </w:tr>
      <w:tr w:rsidR="007E32B6" w:rsidRPr="0035640D" w14:paraId="5F82FD0E" w14:textId="77777777">
        <w:trPr>
          <w:trHeight w:val="392"/>
        </w:trPr>
        <w:tc>
          <w:tcPr>
            <w:tcW w:w="9354" w:type="dxa"/>
            <w:gridSpan w:val="3"/>
          </w:tcPr>
          <w:p w14:paraId="375C0044"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Studie mit der Analyse und Bewertung möglicher Organisationsformen; geeignete und rechtlich abgestützte Variante; Vorschläge zu Implementationsmassnahmen.</w:t>
            </w:r>
          </w:p>
        </w:tc>
      </w:tr>
      <w:tr w:rsidR="007E32B6" w:rsidRPr="0035640D" w14:paraId="1DB2FEB2" w14:textId="77777777">
        <w:trPr>
          <w:trHeight w:val="392"/>
        </w:trPr>
        <w:tc>
          <w:tcPr>
            <w:tcW w:w="9354" w:type="dxa"/>
            <w:gridSpan w:val="3"/>
          </w:tcPr>
          <w:p w14:paraId="3F32DF72"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Studie und Starten der Umsetzung.</w:t>
            </w:r>
          </w:p>
        </w:tc>
      </w:tr>
      <w:tr w:rsidR="007E32B6" w:rsidRPr="0035640D" w14:paraId="2BD2C3E4" w14:textId="77777777" w:rsidTr="0035640D">
        <w:trPr>
          <w:trHeight w:val="392"/>
        </w:trPr>
        <w:tc>
          <w:tcPr>
            <w:tcW w:w="4677" w:type="dxa"/>
            <w:gridSpan w:val="2"/>
          </w:tcPr>
          <w:p w14:paraId="76E1A3D0"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Rolf Buser.</w:t>
            </w:r>
          </w:p>
        </w:tc>
        <w:tc>
          <w:tcPr>
            <w:tcW w:w="4677" w:type="dxa"/>
            <w:shd w:val="clear" w:color="auto" w:fill="F2F2F2" w:themeFill="background1" w:themeFillShade="F2"/>
          </w:tcPr>
          <w:p w14:paraId="495668C2" w14:textId="6CBCEF01"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50,000.— SFr.</w:t>
            </w:r>
            <w:r w:rsidR="0035640D">
              <w:rPr>
                <w:rFonts w:ascii="Aptos" w:eastAsia="Calibri" w:hAnsi="Aptos" w:cs="Arial"/>
                <w:color w:val="000000" w:themeColor="text1"/>
                <w:sz w:val="20"/>
                <w:szCs w:val="20"/>
              </w:rPr>
              <w:t>;</w:t>
            </w:r>
          </w:p>
          <w:p w14:paraId="12FDC09B" w14:textId="6FCE0472" w:rsidR="007E32B6" w:rsidRPr="0035640D" w:rsidRDefault="00BF1A26">
            <w:pPr>
              <w:spacing w:before="60" w:after="60" w:line="276" w:lineRule="auto"/>
              <w:ind w:left="39"/>
              <w:rPr>
                <w:rFonts w:ascii="Aptos" w:hAnsi="Aptos" w:cs="Arial"/>
                <w:color w:val="000000" w:themeColor="text1"/>
                <w:sz w:val="20"/>
                <w:szCs w:val="20"/>
              </w:rPr>
            </w:pPr>
            <w:r>
              <w:rPr>
                <w:rFonts w:ascii="Aptos" w:eastAsia="Calibri" w:hAnsi="Aptos" w:cs="Arial"/>
                <w:color w:val="000000" w:themeColor="text1"/>
                <w:sz w:val="20"/>
                <w:szCs w:val="20"/>
              </w:rPr>
              <w:t xml:space="preserve">Betrieb </w:t>
            </w:r>
            <w:r w:rsidR="0095488E" w:rsidRPr="0035640D">
              <w:rPr>
                <w:rFonts w:ascii="Aptos" w:eastAsia="Calibri" w:hAnsi="Aptos" w:cs="Arial"/>
                <w:color w:val="000000" w:themeColor="text1"/>
                <w:sz w:val="20"/>
                <w:szCs w:val="20"/>
              </w:rPr>
              <w:t>ab 2027 jährlich 100,000.— SFr</w:t>
            </w:r>
            <w:r>
              <w:rPr>
                <w:rFonts w:ascii="Aptos" w:eastAsia="Calibri" w:hAnsi="Aptos" w:cs="Arial"/>
                <w:color w:val="000000" w:themeColor="text1"/>
                <w:sz w:val="20"/>
                <w:szCs w:val="20"/>
              </w:rPr>
              <w:t>.</w:t>
            </w:r>
          </w:p>
        </w:tc>
      </w:tr>
    </w:tbl>
    <w:p w14:paraId="4FB1C38A" w14:textId="77777777" w:rsidR="007E32B6" w:rsidRPr="0035640D" w:rsidRDefault="007E32B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4048"/>
        <w:gridCol w:w="4399"/>
      </w:tblGrid>
      <w:tr w:rsidR="007E32B6" w:rsidRPr="0035640D" w14:paraId="44383CB9" w14:textId="77777777">
        <w:trPr>
          <w:trHeight w:val="719"/>
        </w:trPr>
        <w:tc>
          <w:tcPr>
            <w:tcW w:w="907" w:type="dxa"/>
            <w:shd w:val="clear" w:color="auto" w:fill="BFBFBF" w:themeFill="background1" w:themeFillShade="BF"/>
          </w:tcPr>
          <w:p w14:paraId="71A76A6F"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1-25-2</w:t>
            </w:r>
          </w:p>
        </w:tc>
        <w:tc>
          <w:tcPr>
            <w:tcW w:w="8447" w:type="dxa"/>
            <w:gridSpan w:val="2"/>
            <w:shd w:val="clear" w:color="auto" w:fill="F2F2F2" w:themeFill="background1" w:themeFillShade="F2"/>
          </w:tcPr>
          <w:p w14:paraId="3EAB1458"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iCs/>
                <w:color w:val="000000" w:themeColor="text1"/>
              </w:rPr>
              <w:t xml:space="preserve">Die </w:t>
            </w:r>
            <w:r w:rsidRPr="0035640D">
              <w:rPr>
                <w:rFonts w:ascii="Aptos" w:eastAsia="Calibri" w:hAnsi="Aptos" w:cs="Arial"/>
                <w:b/>
                <w:bCs/>
                <w:iCs/>
                <w:color w:val="000000" w:themeColor="text1"/>
              </w:rPr>
              <w:t>Vernetzung</w:t>
            </w:r>
            <w:r w:rsidRPr="0035640D">
              <w:rPr>
                <w:rFonts w:ascii="Aptos" w:eastAsia="Calibri" w:hAnsi="Aptos" w:cs="Arial"/>
                <w:iCs/>
                <w:color w:val="000000" w:themeColor="text1"/>
              </w:rPr>
              <w:t xml:space="preserve"> mit Akteuren, Organisationen und Datenräumen </w:t>
            </w:r>
            <w:r w:rsidRPr="0035640D">
              <w:rPr>
                <w:rFonts w:ascii="Aptos" w:eastAsia="Calibri" w:hAnsi="Aptos" w:cs="Arial"/>
                <w:b/>
                <w:bCs/>
                <w:iCs/>
                <w:color w:val="000000" w:themeColor="text1"/>
              </w:rPr>
              <w:t>ausserhalb</w:t>
            </w:r>
            <w:r w:rsidRPr="0035640D">
              <w:rPr>
                <w:rFonts w:ascii="Aptos" w:eastAsia="Calibri" w:hAnsi="Aptos" w:cs="Arial"/>
                <w:iCs/>
                <w:color w:val="000000" w:themeColor="text1"/>
              </w:rPr>
              <w:t xml:space="preserve"> der </w:t>
            </w:r>
            <w:r w:rsidRPr="0035640D">
              <w:rPr>
                <w:rFonts w:ascii="Aptos" w:eastAsia="Calibri" w:hAnsi="Aptos" w:cs="Arial"/>
                <w:b/>
                <w:bCs/>
                <w:iCs/>
                <w:color w:val="000000" w:themeColor="text1"/>
              </w:rPr>
              <w:t>Geoinformation</w:t>
            </w:r>
            <w:r w:rsidRPr="0035640D">
              <w:rPr>
                <w:rFonts w:ascii="Aptos" w:eastAsia="Calibri" w:hAnsi="Aptos" w:cs="Arial"/>
                <w:iCs/>
                <w:color w:val="000000" w:themeColor="text1"/>
              </w:rPr>
              <w:t xml:space="preserve"> </w:t>
            </w:r>
            <w:r w:rsidRPr="0035640D">
              <w:rPr>
                <w:rFonts w:ascii="Aptos" w:eastAsia="Calibri" w:hAnsi="Aptos" w:cs="Arial"/>
                <w:b/>
                <w:bCs/>
                <w:iCs/>
                <w:color w:val="000000" w:themeColor="text1"/>
              </w:rPr>
              <w:t>stärken</w:t>
            </w:r>
            <w:r w:rsidRPr="0035640D">
              <w:rPr>
                <w:rFonts w:ascii="Aptos" w:eastAsia="Calibri" w:hAnsi="Aptos" w:cs="Arial"/>
                <w:iCs/>
                <w:color w:val="000000" w:themeColor="text1"/>
              </w:rPr>
              <w:t>.</w:t>
            </w:r>
          </w:p>
        </w:tc>
      </w:tr>
      <w:tr w:rsidR="007E32B6" w:rsidRPr="0035640D" w14:paraId="0DB60A6A" w14:textId="77777777">
        <w:trPr>
          <w:trHeight w:val="60"/>
        </w:trPr>
        <w:tc>
          <w:tcPr>
            <w:tcW w:w="9354" w:type="dxa"/>
            <w:gridSpan w:val="3"/>
          </w:tcPr>
          <w:p w14:paraId="3C7E6D5C"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Die SGS hat als langfristiges Ziel die Vernetzung «nach aussen» definiert. Der Bereich Geoinformation muss sichtbarer und breiter wahrgenommen werden. Dazu sollen möglichst früh erste Schritte realisiert werden. Prioritär soll die direkte Zusammenarbeit mit der Digitalen Verwaltung Schweiz (DVS) und der Bundeskanzlei, Bereich Digitale Transformation und IKT-Lenkung (DTI), konkretisiert und etabliert werden. Es soll eine gemeinsame Sicht auf die Bedeutung und die Rolle von Geodaten und der NGDI im Kontext «Datenökosystem Schweiz» entwickelt werden.</w:t>
            </w:r>
          </w:p>
          <w:p w14:paraId="59362854"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Cs/>
                <w:color w:val="000000" w:themeColor="text1"/>
                <w:sz w:val="20"/>
                <w:szCs w:val="20"/>
              </w:rPr>
              <w:t>Es sollen sektorübergreifende Partnerschaften über die traditionellen Akteure im Bereich Geoinformation hinaus (Technologieunternehmen, Start-Ups, Forschungsinstitute) gesucht und etabliert werden, um innovative Technologien (z.B. digitale Zwillinge) in einem agilen Rahmen weiterzuentwickeln.</w:t>
            </w:r>
          </w:p>
        </w:tc>
      </w:tr>
      <w:tr w:rsidR="007E32B6" w:rsidRPr="0035640D" w14:paraId="553E6AF9" w14:textId="77777777">
        <w:trPr>
          <w:trHeight w:val="680"/>
        </w:trPr>
        <w:tc>
          <w:tcPr>
            <w:tcW w:w="9354" w:type="dxa"/>
            <w:gridSpan w:val="3"/>
          </w:tcPr>
          <w:p w14:paraId="1BBA4D91"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Konkrete Marketingmassnahmen sollen später und in Abstimmung mit der strategischen Kommunikation sowie SWISSGEO erfolgen. Diese Aktion wird 2026 wie vorgesehen weitergeführt.</w:t>
            </w:r>
          </w:p>
        </w:tc>
      </w:tr>
      <w:tr w:rsidR="007E32B6" w:rsidRPr="0035640D" w14:paraId="071B6DEC" w14:textId="77777777">
        <w:trPr>
          <w:trHeight w:val="391"/>
        </w:trPr>
        <w:tc>
          <w:tcPr>
            <w:tcW w:w="9354" w:type="dxa"/>
            <w:gridSpan w:val="3"/>
            <w:shd w:val="clear" w:color="auto" w:fill="F2F2F2" w:themeFill="background1" w:themeFillShade="F2"/>
          </w:tcPr>
          <w:p w14:paraId="569AAE3E"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Abhängigkeit</w:t>
            </w:r>
            <w:r w:rsidRPr="0035640D">
              <w:rPr>
                <w:rFonts w:ascii="Aptos" w:eastAsia="Calibri" w:hAnsi="Aptos" w:cs="Arial"/>
                <w:bCs/>
                <w:color w:val="000000" w:themeColor="text1"/>
                <w:sz w:val="20"/>
                <w:szCs w:val="20"/>
              </w:rPr>
              <w:t>: Aktionsfeld 3: Prozesse erleichtern und Aktion 7-26-1 SWISSGEO.</w:t>
            </w:r>
          </w:p>
        </w:tc>
      </w:tr>
      <w:tr w:rsidR="007E32B6" w:rsidRPr="0035640D" w14:paraId="46321E5B" w14:textId="77777777">
        <w:trPr>
          <w:trHeight w:val="392"/>
        </w:trPr>
        <w:tc>
          <w:tcPr>
            <w:tcW w:w="9354" w:type="dxa"/>
            <w:gridSpan w:val="3"/>
          </w:tcPr>
          <w:p w14:paraId="4254B1B4"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Abnahme der gemeinsamen Prozesse, ggf. </w:t>
            </w:r>
            <w:r w:rsidRPr="0035640D">
              <w:rPr>
                <w:rFonts w:ascii="Aptos" w:eastAsia="Calibri" w:hAnsi="Aptos" w:cs="Arial"/>
                <w:i/>
                <w:iCs/>
                <w:color w:val="000000" w:themeColor="text1"/>
                <w:sz w:val="20"/>
                <w:szCs w:val="20"/>
              </w:rPr>
              <w:t xml:space="preserve">Memorandum </w:t>
            </w:r>
            <w:proofErr w:type="spellStart"/>
            <w:r w:rsidRPr="0035640D">
              <w:rPr>
                <w:rFonts w:ascii="Aptos" w:eastAsia="Calibri" w:hAnsi="Aptos" w:cs="Arial"/>
                <w:i/>
                <w:iCs/>
                <w:color w:val="000000" w:themeColor="text1"/>
                <w:sz w:val="20"/>
                <w:szCs w:val="20"/>
              </w:rPr>
              <w:t>of</w:t>
            </w:r>
            <w:proofErr w:type="spellEnd"/>
            <w:r w:rsidRPr="0035640D">
              <w:rPr>
                <w:rFonts w:ascii="Aptos" w:eastAsia="Calibri" w:hAnsi="Aptos" w:cs="Arial"/>
                <w:i/>
                <w:iCs/>
                <w:color w:val="000000" w:themeColor="text1"/>
                <w:sz w:val="20"/>
                <w:szCs w:val="20"/>
              </w:rPr>
              <w:t xml:space="preserve"> Understanding</w:t>
            </w:r>
            <w:r w:rsidRPr="0035640D">
              <w:rPr>
                <w:rFonts w:ascii="Aptos" w:eastAsia="Calibri" w:hAnsi="Aptos" w:cs="Arial"/>
                <w:color w:val="000000" w:themeColor="text1"/>
                <w:sz w:val="20"/>
                <w:szCs w:val="20"/>
              </w:rPr>
              <w:t xml:space="preserve"> mit DTI weiteren Partnern.</w:t>
            </w:r>
          </w:p>
        </w:tc>
      </w:tr>
      <w:tr w:rsidR="007E32B6" w:rsidRPr="0035640D" w14:paraId="632012EE" w14:textId="77777777">
        <w:trPr>
          <w:trHeight w:val="392"/>
        </w:trPr>
        <w:tc>
          <w:tcPr>
            <w:tcW w:w="9354" w:type="dxa"/>
            <w:gridSpan w:val="3"/>
          </w:tcPr>
          <w:p w14:paraId="0BC36C58"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des/der «Memorandums».</w:t>
            </w:r>
          </w:p>
        </w:tc>
      </w:tr>
      <w:tr w:rsidR="007E32B6" w:rsidRPr="0035640D" w14:paraId="7A8C96F6" w14:textId="77777777" w:rsidTr="0035640D">
        <w:trPr>
          <w:trHeight w:val="392"/>
        </w:trPr>
        <w:tc>
          <w:tcPr>
            <w:tcW w:w="4955" w:type="dxa"/>
            <w:gridSpan w:val="2"/>
          </w:tcPr>
          <w:p w14:paraId="60831FAF"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Alain Buogo, Christine Najar.</w:t>
            </w:r>
          </w:p>
        </w:tc>
        <w:tc>
          <w:tcPr>
            <w:tcW w:w="4399" w:type="dxa"/>
            <w:shd w:val="clear" w:color="auto" w:fill="F2F2F2" w:themeFill="background1" w:themeFillShade="F2"/>
          </w:tcPr>
          <w:p w14:paraId="216353A5"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0.— SFr. (Eigenleistung)</w:t>
            </w:r>
          </w:p>
        </w:tc>
      </w:tr>
    </w:tbl>
    <w:p w14:paraId="7E885A24" w14:textId="77777777" w:rsidR="007E32B6" w:rsidRPr="0035640D" w:rsidRDefault="007E32B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4048"/>
        <w:gridCol w:w="4399"/>
      </w:tblGrid>
      <w:tr w:rsidR="007E32B6" w:rsidRPr="0035640D" w14:paraId="69100178" w14:textId="77777777">
        <w:trPr>
          <w:trHeight w:val="719"/>
        </w:trPr>
        <w:tc>
          <w:tcPr>
            <w:tcW w:w="907" w:type="dxa"/>
            <w:shd w:val="clear" w:color="auto" w:fill="8CBBAD"/>
          </w:tcPr>
          <w:p w14:paraId="4FF7242B"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lastRenderedPageBreak/>
              <w:t>1-26-1</w:t>
            </w:r>
          </w:p>
        </w:tc>
        <w:tc>
          <w:tcPr>
            <w:tcW w:w="8447" w:type="dxa"/>
            <w:gridSpan w:val="2"/>
            <w:shd w:val="clear" w:color="auto" w:fill="DCEBE6"/>
          </w:tcPr>
          <w:p w14:paraId="573360A8"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iCs/>
                <w:color w:val="000000" w:themeColor="text1"/>
              </w:rPr>
              <w:t>Empfehlungen</w:t>
            </w:r>
            <w:r w:rsidRPr="0035640D">
              <w:rPr>
                <w:rFonts w:ascii="Aptos" w:eastAsia="Calibri" w:hAnsi="Aptos" w:cs="Arial"/>
                <w:iCs/>
                <w:color w:val="000000" w:themeColor="text1"/>
              </w:rPr>
              <w:t xml:space="preserve"> für den </w:t>
            </w:r>
            <w:r w:rsidRPr="0035640D">
              <w:rPr>
                <w:rFonts w:ascii="Aptos" w:eastAsia="Calibri" w:hAnsi="Aptos" w:cs="Arial"/>
                <w:b/>
                <w:iCs/>
                <w:color w:val="000000" w:themeColor="text1"/>
              </w:rPr>
              <w:t>Umgang mit Geodaten in Datenräumen</w:t>
            </w:r>
            <w:r w:rsidRPr="0035640D">
              <w:rPr>
                <w:rFonts w:ascii="Aptos" w:eastAsia="Calibri" w:hAnsi="Aptos" w:cs="Arial"/>
                <w:iCs/>
                <w:color w:val="000000" w:themeColor="text1"/>
              </w:rPr>
              <w:t xml:space="preserve"> des Datenökosystems Schweiz erarbeiten.</w:t>
            </w:r>
          </w:p>
        </w:tc>
      </w:tr>
      <w:tr w:rsidR="007E32B6" w:rsidRPr="0035640D" w14:paraId="17C94C27" w14:textId="77777777">
        <w:trPr>
          <w:trHeight w:val="60"/>
        </w:trPr>
        <w:tc>
          <w:tcPr>
            <w:tcW w:w="9354" w:type="dxa"/>
            <w:gridSpan w:val="3"/>
          </w:tcPr>
          <w:p w14:paraId="26153CC6"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w:t>
            </w:r>
            <w:r w:rsidRPr="0035640D">
              <w:rPr>
                <w:rFonts w:ascii="Aptos" w:eastAsia="Calibri" w:hAnsi="Aptos" w:cs="Arial"/>
                <w:bCs/>
                <w:sz w:val="20"/>
                <w:szCs w:val="20"/>
              </w:rPr>
              <w:t xml:space="preserve">Die </w:t>
            </w:r>
            <w:hyperlink r:id="rId9">
              <w:r w:rsidRPr="0035640D">
                <w:rPr>
                  <w:rStyle w:val="Hyperlink"/>
                  <w:rFonts w:ascii="Aptos" w:eastAsia="Calibri" w:hAnsi="Aptos" w:cs="Arial"/>
                  <w:bCs/>
                  <w:color w:val="auto"/>
                  <w:sz w:val="20"/>
                  <w:szCs w:val="20"/>
                </w:rPr>
                <w:t>Studie der Swiss Data Alliance</w:t>
              </w:r>
            </w:hyperlink>
            <w:r w:rsidRPr="0035640D">
              <w:rPr>
                <w:rFonts w:ascii="Aptos" w:eastAsia="Calibri" w:hAnsi="Aptos" w:cs="Arial"/>
                <w:bCs/>
                <w:sz w:val="20"/>
                <w:szCs w:val="20"/>
              </w:rPr>
              <w:t xml:space="preserve"> hat aufgezeigt, dass Geodaten eine zentrale Grundlage für vertrauenswürdige Datenräume sind und dass die Festlegung und Umsetzung von Standards für Geodaten in Datenräume weiter forciert werden soll. Im Rahmen des Datenökosystems Schweiz werden thematische Datenräume aufgebaut, die auch Geoinformationen beinhalten werden. Der Umgang und die Interaktion mit Geodaten und der NGDI soll von Beginn weg in den Datenräumen und generell dem Datenökosystem Schweiz vereinheitlicht werden. Dazu sind grundlegende Empfehlungen zu erarbeiten.</w:t>
            </w:r>
          </w:p>
        </w:tc>
      </w:tr>
      <w:tr w:rsidR="007E32B6" w:rsidRPr="0035640D" w14:paraId="309E2BC0" w14:textId="77777777">
        <w:trPr>
          <w:trHeight w:val="391"/>
        </w:trPr>
        <w:tc>
          <w:tcPr>
            <w:tcW w:w="9354" w:type="dxa"/>
            <w:gridSpan w:val="3"/>
            <w:shd w:val="clear" w:color="auto" w:fill="DCEBE6"/>
          </w:tcPr>
          <w:p w14:paraId="207B2DF1"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Abhängigkeit</w:t>
            </w:r>
            <w:r w:rsidRPr="0035640D">
              <w:rPr>
                <w:rFonts w:ascii="Aptos" w:eastAsia="Calibri" w:hAnsi="Aptos" w:cs="Arial"/>
                <w:bCs/>
                <w:color w:val="000000" w:themeColor="text1"/>
                <w:sz w:val="20"/>
                <w:szCs w:val="20"/>
              </w:rPr>
              <w:t>: Aktion 1-25-2.</w:t>
            </w:r>
          </w:p>
        </w:tc>
      </w:tr>
      <w:tr w:rsidR="007E32B6" w:rsidRPr="0035640D" w14:paraId="2D973ADB" w14:textId="77777777">
        <w:trPr>
          <w:trHeight w:val="392"/>
        </w:trPr>
        <w:tc>
          <w:tcPr>
            <w:tcW w:w="9354" w:type="dxa"/>
            <w:gridSpan w:val="3"/>
          </w:tcPr>
          <w:p w14:paraId="3F013D3E"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iCs/>
                <w:color w:val="000000" w:themeColor="text1"/>
                <w:sz w:val="20"/>
                <w:szCs w:val="20"/>
              </w:rPr>
              <w:t>Empfehlungsdokument «der NGDI an die Datenräume» sowie geklärte Anforderungen des Datenökosystems Schweiz an die NGDI und umgekehrt. Implementation anhand Beispielen der Empfehlungen und Fortführung ab 2026 vorgesehen.</w:t>
            </w:r>
          </w:p>
        </w:tc>
      </w:tr>
      <w:tr w:rsidR="007E32B6" w:rsidRPr="0035640D" w14:paraId="7930C8E5" w14:textId="77777777">
        <w:trPr>
          <w:trHeight w:val="392"/>
        </w:trPr>
        <w:tc>
          <w:tcPr>
            <w:tcW w:w="9354" w:type="dxa"/>
            <w:gridSpan w:val="3"/>
          </w:tcPr>
          <w:p w14:paraId="1DB9BA67"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Empfehlungen und Anforderungen.</w:t>
            </w:r>
          </w:p>
        </w:tc>
      </w:tr>
      <w:tr w:rsidR="007E32B6" w:rsidRPr="0035640D" w14:paraId="06CD3216" w14:textId="77777777" w:rsidTr="0035640D">
        <w:trPr>
          <w:trHeight w:val="392"/>
        </w:trPr>
        <w:tc>
          <w:tcPr>
            <w:tcW w:w="4955" w:type="dxa"/>
            <w:gridSpan w:val="2"/>
          </w:tcPr>
          <w:p w14:paraId="5F980455"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Alain Buogo, Christine Najar</w:t>
            </w:r>
          </w:p>
        </w:tc>
        <w:tc>
          <w:tcPr>
            <w:tcW w:w="4399" w:type="dxa"/>
            <w:shd w:val="clear" w:color="auto" w:fill="DCEBE6"/>
          </w:tcPr>
          <w:p w14:paraId="65EB168E"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30,000.— SFr.</w:t>
            </w:r>
          </w:p>
        </w:tc>
      </w:tr>
    </w:tbl>
    <w:p w14:paraId="4E64BEA2" w14:textId="77777777" w:rsidR="002568FB" w:rsidRDefault="002568FB">
      <w:pPr>
        <w:suppressAutoHyphens/>
        <w:spacing w:after="0" w:line="240" w:lineRule="auto"/>
        <w:rPr>
          <w:rFonts w:ascii="Aptos" w:hAnsi="Aptos" w:cs="Arial"/>
          <w:color w:val="D66A3A"/>
          <w:sz w:val="28"/>
          <w:szCs w:val="28"/>
        </w:rPr>
      </w:pPr>
      <w:bookmarkStart w:id="19" w:name="_Toc211502014"/>
      <w:r>
        <w:rPr>
          <w:rFonts w:ascii="Aptos" w:hAnsi="Aptos"/>
        </w:rPr>
        <w:br w:type="page"/>
      </w:r>
    </w:p>
    <w:p w14:paraId="72E5B13A" w14:textId="3C7E252B" w:rsidR="007E32B6" w:rsidRPr="0035640D" w:rsidRDefault="0095488E">
      <w:pPr>
        <w:pStyle w:val="berschrift3"/>
        <w:rPr>
          <w:rFonts w:ascii="Aptos" w:hAnsi="Aptos"/>
          <w:b/>
        </w:rPr>
      </w:pPr>
      <w:r w:rsidRPr="0035640D">
        <w:rPr>
          <w:rFonts w:ascii="Aptos" w:hAnsi="Aptos"/>
        </w:rPr>
        <w:lastRenderedPageBreak/>
        <w:t xml:space="preserve">Aktionsfeld 2: </w:t>
      </w:r>
      <w:r w:rsidRPr="0035640D">
        <w:rPr>
          <w:rFonts w:ascii="Aptos" w:hAnsi="Aptos"/>
          <w:b/>
        </w:rPr>
        <w:t>Geodaten verknüpfen</w:t>
      </w:r>
      <w:bookmarkEnd w:id="19"/>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40E60C90" w14:textId="77777777">
        <w:trPr>
          <w:trHeight w:val="719"/>
        </w:trPr>
        <w:tc>
          <w:tcPr>
            <w:tcW w:w="907" w:type="dxa"/>
            <w:shd w:val="clear" w:color="auto" w:fill="BFBFBF" w:themeFill="background1" w:themeFillShade="BF"/>
          </w:tcPr>
          <w:p w14:paraId="70CD0337" w14:textId="77777777" w:rsidR="007E32B6" w:rsidRPr="0035640D" w:rsidRDefault="0095488E">
            <w:pPr>
              <w:spacing w:before="60" w:after="60" w:line="276" w:lineRule="auto"/>
              <w:jc w:val="center"/>
              <w:rPr>
                <w:rFonts w:ascii="Aptos" w:hAnsi="Aptos" w:cs="Arial"/>
                <w:b/>
                <w:color w:val="FFFFFF" w:themeColor="background1"/>
              </w:rPr>
            </w:pPr>
            <w:bookmarkStart w:id="20" w:name="_Hlk176941405"/>
            <w:bookmarkEnd w:id="20"/>
            <w:r w:rsidRPr="0035640D">
              <w:rPr>
                <w:rFonts w:ascii="Aptos" w:eastAsia="Calibri" w:hAnsi="Aptos" w:cs="Arial"/>
                <w:b/>
                <w:color w:val="FFFFFF" w:themeColor="background1"/>
              </w:rPr>
              <w:t>2-23-1</w:t>
            </w:r>
          </w:p>
        </w:tc>
        <w:tc>
          <w:tcPr>
            <w:tcW w:w="8447" w:type="dxa"/>
            <w:gridSpan w:val="2"/>
            <w:shd w:val="clear" w:color="auto" w:fill="F2F2F2" w:themeFill="background1" w:themeFillShade="F2"/>
          </w:tcPr>
          <w:p w14:paraId="04014CA5" w14:textId="77777777" w:rsidR="007E32B6" w:rsidRPr="0035640D" w:rsidRDefault="0095488E">
            <w:pPr>
              <w:spacing w:before="60" w:after="60" w:line="276" w:lineRule="auto"/>
              <w:ind w:left="39"/>
              <w:rPr>
                <w:rFonts w:ascii="Aptos" w:hAnsi="Aptos" w:cs="Arial"/>
                <w:color w:val="000000" w:themeColor="text1"/>
              </w:rPr>
            </w:pPr>
            <w:r w:rsidRPr="0035640D">
              <w:rPr>
                <w:rFonts w:ascii="Aptos" w:eastAsia="Calibri" w:hAnsi="Aptos" w:cs="Arial"/>
                <w:b/>
                <w:bCs/>
              </w:rPr>
              <w:t>Rechtliche Abklärungen</w:t>
            </w:r>
            <w:r w:rsidRPr="0035640D">
              <w:rPr>
                <w:rFonts w:ascii="Aptos" w:eastAsia="Calibri" w:hAnsi="Aptos" w:cs="Arial"/>
              </w:rPr>
              <w:t xml:space="preserve">; Prüfung der Aufgaben/Kompetenzen/Verantwortlichkeiten in GeoIG und GeoIV hinsichtlich </w:t>
            </w:r>
            <w:r w:rsidRPr="0035640D">
              <w:rPr>
                <w:rFonts w:ascii="Aptos" w:eastAsia="Calibri" w:hAnsi="Aptos" w:cs="Arial"/>
                <w:b/>
                <w:bCs/>
              </w:rPr>
              <w:t>Datenharmonisierung</w:t>
            </w:r>
            <w:r w:rsidRPr="0035640D">
              <w:rPr>
                <w:rFonts w:ascii="Aptos" w:eastAsia="Calibri" w:hAnsi="Aptos" w:cs="Arial"/>
              </w:rPr>
              <w:t>.</w:t>
            </w:r>
          </w:p>
        </w:tc>
      </w:tr>
      <w:tr w:rsidR="007E32B6" w:rsidRPr="0035640D" w14:paraId="54C8504B" w14:textId="77777777">
        <w:trPr>
          <w:trHeight w:val="70"/>
        </w:trPr>
        <w:tc>
          <w:tcPr>
            <w:tcW w:w="9354" w:type="dxa"/>
            <w:gridSpan w:val="3"/>
          </w:tcPr>
          <w:p w14:paraId="6CCA2D67" w14:textId="77777777" w:rsidR="00BF1A26" w:rsidRDefault="0095488E">
            <w:pPr>
              <w:spacing w:before="60" w:after="60" w:line="276" w:lineRule="auto"/>
              <w:ind w:left="39"/>
              <w:rPr>
                <w:rFonts w:ascii="Aptos" w:eastAsia="Calibri"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Die Aufgaben, Kompetenzen und Verantwortlichkeiten (AKV) des Bundes, der Fachstellen und der Kantone bei der Harmonisierung liegen aktuell nicht klar formuliert vor, wodurch die angestrebte Datenharmonisierung gebremst wird. Um diese zu beschleunigen, müssen die gesetzlichen Grundlagen im Hinblick auf die AKV konkretisiert werden. Die entsprechenden Erkenntnisse werden in einem Konzept festgehalten. Der Anpassungsbedarf der rechtlichen Grundlagen, insbesondere der GeoIV, wird eruiert. </w:t>
            </w:r>
          </w:p>
          <w:p w14:paraId="547CDA1C" w14:textId="0052350F"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Cs/>
                <w:color w:val="000000" w:themeColor="text1"/>
                <w:sz w:val="20"/>
                <w:szCs w:val="20"/>
              </w:rPr>
              <w:t>Die Umsetzung dieser Aktion erfolgt im ersten Semester 2026 mit externer juristischer Unterstützung.</w:t>
            </w:r>
          </w:p>
        </w:tc>
      </w:tr>
      <w:tr w:rsidR="007E32B6" w:rsidRPr="0035640D" w14:paraId="2B2F618D" w14:textId="77777777">
        <w:trPr>
          <w:trHeight w:val="70"/>
        </w:trPr>
        <w:tc>
          <w:tcPr>
            <w:tcW w:w="9354" w:type="dxa"/>
            <w:gridSpan w:val="3"/>
          </w:tcPr>
          <w:p w14:paraId="23BD2B35"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Diese Aktion steht in engem Zusammenhang mit anderen aktuellen oder bereits geleisteten Vorhaben zum Thema «Bereitstellung flächendeckender, harmonisierter Geodaten vorantreiben». Die konkrete Ausformulierung der AKV sind noch nicht Teil dieser Aktion, lediglich die dazu erforderlichen rechtlichen Vorabklärungen. Die Aktion ist eng mit der Aktion 2-24-1 und mit den Tätigkeiten im Bereich Georegister abzustimmen, Synergien sind zu nutzen.</w:t>
            </w:r>
            <w:r w:rsidRPr="0035640D">
              <w:rPr>
                <w:rFonts w:ascii="Aptos" w:eastAsia="Calibri" w:hAnsi="Aptos" w:cs="Arial"/>
                <w:bCs/>
                <w:sz w:val="20"/>
                <w:szCs w:val="20"/>
              </w:rPr>
              <w:t xml:space="preserve"> Ergänzte und angepasste Aktion.</w:t>
            </w:r>
          </w:p>
        </w:tc>
      </w:tr>
      <w:tr w:rsidR="007E32B6" w:rsidRPr="0035640D" w14:paraId="43EF6A2F" w14:textId="77777777">
        <w:trPr>
          <w:trHeight w:val="392"/>
        </w:trPr>
        <w:tc>
          <w:tcPr>
            <w:tcW w:w="9354" w:type="dxa"/>
            <w:gridSpan w:val="3"/>
          </w:tcPr>
          <w:p w14:paraId="53BE3B22"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sz w:val="20"/>
                <w:szCs w:val="20"/>
              </w:rPr>
              <w:t>Lieferobjekte</w:t>
            </w:r>
            <w:r w:rsidRPr="0035640D">
              <w:rPr>
                <w:rFonts w:ascii="Aptos" w:eastAsia="Calibri" w:hAnsi="Aptos" w:cs="Arial"/>
                <w:sz w:val="20"/>
                <w:szCs w:val="20"/>
              </w:rPr>
              <w:t>: Analyse mit konkreten Vorschlägen zur Anpassung der gesetzlichen Bestimmungen zur rascheren Erreichung flächendeckender Datenharmonisierung.</w:t>
            </w:r>
          </w:p>
        </w:tc>
      </w:tr>
      <w:tr w:rsidR="007E32B6" w:rsidRPr="0035640D" w14:paraId="1119AC3B" w14:textId="77777777">
        <w:trPr>
          <w:trHeight w:val="392"/>
        </w:trPr>
        <w:tc>
          <w:tcPr>
            <w:tcW w:w="9354" w:type="dxa"/>
            <w:gridSpan w:val="3"/>
          </w:tcPr>
          <w:p w14:paraId="52C956F4"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Erfüllungskriterium</w:t>
            </w:r>
            <w:r w:rsidRPr="0035640D">
              <w:rPr>
                <w:rFonts w:ascii="Aptos" w:eastAsia="Calibri" w:hAnsi="Aptos" w:cs="Arial"/>
                <w:sz w:val="20"/>
                <w:szCs w:val="20"/>
              </w:rPr>
              <w:t>: Abnahme Anpassungsvorschläge.</w:t>
            </w:r>
          </w:p>
        </w:tc>
      </w:tr>
      <w:tr w:rsidR="007E32B6" w:rsidRPr="0035640D" w14:paraId="7D964823" w14:textId="77777777" w:rsidTr="0035640D">
        <w:trPr>
          <w:trHeight w:val="392"/>
        </w:trPr>
        <w:tc>
          <w:tcPr>
            <w:tcW w:w="4677" w:type="dxa"/>
            <w:gridSpan w:val="2"/>
          </w:tcPr>
          <w:p w14:paraId="20F101E4"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Hans Ulrich Wiedmer.</w:t>
            </w:r>
          </w:p>
        </w:tc>
        <w:tc>
          <w:tcPr>
            <w:tcW w:w="4677" w:type="dxa"/>
            <w:shd w:val="clear" w:color="auto" w:fill="F2F2F2" w:themeFill="background1" w:themeFillShade="F2"/>
          </w:tcPr>
          <w:p w14:paraId="58E252FB"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25,000.— SFr.</w:t>
            </w:r>
            <w:bookmarkStart w:id="21" w:name="_Hlk149285404"/>
            <w:bookmarkEnd w:id="21"/>
          </w:p>
        </w:tc>
      </w:tr>
    </w:tbl>
    <w:p w14:paraId="5EEEA369" w14:textId="77777777" w:rsidR="0035640D" w:rsidRPr="0035640D" w:rsidRDefault="0035640D">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33DF248B" w14:textId="77777777">
        <w:trPr>
          <w:trHeight w:val="719"/>
        </w:trPr>
        <w:tc>
          <w:tcPr>
            <w:tcW w:w="907" w:type="dxa"/>
            <w:shd w:val="clear" w:color="auto" w:fill="BFBFBF" w:themeFill="background1" w:themeFillShade="BF"/>
          </w:tcPr>
          <w:p w14:paraId="6C6A5445"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2-24-1</w:t>
            </w:r>
          </w:p>
        </w:tc>
        <w:tc>
          <w:tcPr>
            <w:tcW w:w="8447" w:type="dxa"/>
            <w:gridSpan w:val="2"/>
            <w:shd w:val="clear" w:color="auto" w:fill="F2F2F2" w:themeFill="background1" w:themeFillShade="F2"/>
          </w:tcPr>
          <w:p w14:paraId="30BF65C5" w14:textId="77777777" w:rsidR="00BF1A26" w:rsidRDefault="00BF1A26">
            <w:pPr>
              <w:spacing w:before="60" w:after="60" w:line="276" w:lineRule="auto"/>
              <w:ind w:left="39"/>
              <w:rPr>
                <w:rFonts w:ascii="Aptos" w:eastAsia="Calibri" w:hAnsi="Aptos" w:cs="Arial"/>
                <w:bCs/>
                <w:iCs/>
                <w:color w:val="000000" w:themeColor="text1"/>
              </w:rPr>
            </w:pPr>
            <w:r>
              <w:rPr>
                <w:rFonts w:ascii="Aptos" w:eastAsia="Calibri" w:hAnsi="Aptos" w:cs="Arial"/>
                <w:bCs/>
                <w:iCs/>
                <w:color w:val="000000" w:themeColor="text1"/>
              </w:rPr>
              <w:t>Bedarfsorientierte</w:t>
            </w:r>
            <w:r w:rsidR="0095488E" w:rsidRPr="0035640D">
              <w:rPr>
                <w:rFonts w:ascii="Aptos" w:eastAsia="Calibri" w:hAnsi="Aptos" w:cs="Arial"/>
                <w:bCs/>
                <w:iCs/>
                <w:color w:val="000000" w:themeColor="text1"/>
              </w:rPr>
              <w:t xml:space="preserve"> </w:t>
            </w:r>
            <w:r w:rsidR="0095488E" w:rsidRPr="001039B6">
              <w:rPr>
                <w:rFonts w:ascii="Aptos" w:eastAsia="Calibri" w:hAnsi="Aptos" w:cs="Arial"/>
                <w:b/>
                <w:iCs/>
                <w:color w:val="000000" w:themeColor="text1"/>
              </w:rPr>
              <w:t>Klärung des weitergehenden</w:t>
            </w:r>
            <w:r w:rsidR="0095488E" w:rsidRPr="0035640D">
              <w:rPr>
                <w:rFonts w:ascii="Aptos" w:eastAsia="Calibri" w:hAnsi="Aptos" w:cs="Arial"/>
                <w:bCs/>
                <w:iCs/>
                <w:color w:val="000000" w:themeColor="text1"/>
              </w:rPr>
              <w:t xml:space="preserve"> </w:t>
            </w:r>
            <w:r w:rsidR="0095488E" w:rsidRPr="0035640D">
              <w:rPr>
                <w:rFonts w:ascii="Aptos" w:eastAsia="Calibri" w:hAnsi="Aptos" w:cs="Arial"/>
                <w:b/>
                <w:iCs/>
                <w:color w:val="000000" w:themeColor="text1"/>
              </w:rPr>
              <w:t>Harmonisierungsbedarfs</w:t>
            </w:r>
            <w:r w:rsidR="0095488E" w:rsidRPr="001039B6">
              <w:rPr>
                <w:rFonts w:ascii="Aptos" w:eastAsia="Calibri" w:hAnsi="Aptos" w:cs="Arial"/>
                <w:bCs/>
                <w:iCs/>
                <w:color w:val="000000" w:themeColor="text1"/>
              </w:rPr>
              <w:t xml:space="preserve"> (über strukturelle Harmonisierung hinaus) </w:t>
            </w:r>
            <w:r w:rsidR="0095488E" w:rsidRPr="0035640D">
              <w:rPr>
                <w:rFonts w:ascii="Aptos" w:eastAsia="Calibri" w:hAnsi="Aptos" w:cs="Arial"/>
                <w:bCs/>
                <w:iCs/>
                <w:color w:val="000000" w:themeColor="text1"/>
              </w:rPr>
              <w:t xml:space="preserve">inklusive, Priorisierung. </w:t>
            </w:r>
          </w:p>
          <w:p w14:paraId="462FD3DA" w14:textId="2BF352E2" w:rsidR="007E32B6" w:rsidRPr="0035640D" w:rsidRDefault="0095488E">
            <w:pPr>
              <w:spacing w:before="60" w:after="60" w:line="276" w:lineRule="auto"/>
              <w:ind w:left="39"/>
              <w:rPr>
                <w:rFonts w:ascii="Aptos" w:hAnsi="Aptos" w:cs="Arial"/>
                <w:bCs/>
                <w:iCs/>
                <w:color w:val="000000" w:themeColor="text1"/>
              </w:rPr>
            </w:pPr>
            <w:r w:rsidRPr="0035640D">
              <w:rPr>
                <w:rFonts w:ascii="Aptos" w:eastAsia="Calibri" w:hAnsi="Aptos" w:cs="Arial"/>
                <w:bCs/>
                <w:iCs/>
                <w:color w:val="000000" w:themeColor="text1"/>
              </w:rPr>
              <w:t>Erarbeitung von</w:t>
            </w:r>
            <w:r w:rsidRPr="0035640D">
              <w:rPr>
                <w:rFonts w:ascii="Aptos" w:eastAsia="Calibri" w:hAnsi="Aptos" w:cs="Arial"/>
                <w:b/>
                <w:iCs/>
                <w:color w:val="000000" w:themeColor="text1"/>
              </w:rPr>
              <w:t xml:space="preserve"> Umsetzungskonzepten für priorisierte Themen</w:t>
            </w:r>
            <w:r w:rsidRPr="0035640D">
              <w:rPr>
                <w:rFonts w:ascii="Aptos" w:eastAsia="Calibri" w:hAnsi="Aptos" w:cs="Arial"/>
                <w:bCs/>
                <w:iCs/>
                <w:color w:val="000000" w:themeColor="text1"/>
              </w:rPr>
              <w:t>.</w:t>
            </w:r>
          </w:p>
        </w:tc>
      </w:tr>
      <w:tr w:rsidR="007E32B6" w:rsidRPr="0035640D" w14:paraId="47C667E0" w14:textId="77777777">
        <w:trPr>
          <w:trHeight w:val="60"/>
        </w:trPr>
        <w:tc>
          <w:tcPr>
            <w:tcW w:w="9354" w:type="dxa"/>
            <w:gridSpan w:val="3"/>
          </w:tcPr>
          <w:p w14:paraId="1289B3E1"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Die strukturelle Harmonisierung durch die Definition der minimalen Geodatenmodelle (MGDM) und ihrer koordinierten Umsetzung auf geodienste.ch durch die Kantone ist ein wichtiger Aspekt der Umsetzung des GeoIG. Es stellt sich die Frage, inwieweit die Harmonisierung auch bezogen auf andere Arten (über die strukturelle Harmonisierung hinaus) weitergetrieben werden soll und mit welchen Mitteln dies erfolgen kann. Weiter ist zu klären, für welche Datenthemen eine weitergehende Harmonisierung (geometrisch, topologisch, zeitlich, semantisch) erfolgen soll (Priorisierung). Dabei werden die Erkenntnisse früherer, abgeschlossener Aktionen berücksichtigt und die Bereitsteller- und Nutzergemeinschaft involviert. Die Umsetzung der weitergehenden Harmonisierung wird fallweise im Rahmen der Modellierung und Umsetzung festgelegt.</w:t>
            </w:r>
          </w:p>
        </w:tc>
      </w:tr>
      <w:tr w:rsidR="007E32B6" w:rsidRPr="0035640D" w14:paraId="0B0AC026" w14:textId="77777777">
        <w:trPr>
          <w:trHeight w:val="64"/>
        </w:trPr>
        <w:tc>
          <w:tcPr>
            <w:tcW w:w="9354" w:type="dxa"/>
            <w:gridSpan w:val="3"/>
          </w:tcPr>
          <w:p w14:paraId="218BCB80" w14:textId="337FA3FB" w:rsidR="007E32B6" w:rsidRPr="0035640D" w:rsidRDefault="0095488E">
            <w:pPr>
              <w:spacing w:before="60" w:after="60" w:line="276" w:lineRule="auto"/>
              <w:ind w:left="39"/>
              <w:rPr>
                <w:rFonts w:ascii="Aptos" w:hAnsi="Aptos" w:cs="Arial"/>
                <w:bCs/>
                <w:sz w:val="20"/>
                <w:szCs w:val="20"/>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Die tatsächliche, weitergehende Harmonisierung ist nicht Gegenstand dieser Aktion</w:t>
            </w:r>
            <w:r w:rsidRPr="0035640D">
              <w:rPr>
                <w:rFonts w:ascii="Aptos" w:eastAsia="Calibri" w:hAnsi="Aptos" w:cs="Arial"/>
                <w:bCs/>
                <w:sz w:val="20"/>
                <w:szCs w:val="20"/>
              </w:rPr>
              <w:t xml:space="preserve">. Die Klärung findet in enger Abstimmung mit der Aktion 2-23-1 und im Kontext der Georegister statt. </w:t>
            </w:r>
            <w:r w:rsidRPr="0035640D">
              <w:rPr>
                <w:rFonts w:ascii="Aptos" w:eastAsia="Calibri" w:hAnsi="Aptos" w:cs="Arial"/>
                <w:bCs/>
                <w:color w:val="000000" w:themeColor="text1"/>
                <w:sz w:val="20"/>
                <w:szCs w:val="20"/>
              </w:rPr>
              <w:t>Die Definition der Harmon</w:t>
            </w:r>
            <w:r w:rsidR="00BF1A26">
              <w:rPr>
                <w:rFonts w:ascii="Aptos" w:eastAsia="Calibri" w:hAnsi="Aptos" w:cs="Arial"/>
                <w:bCs/>
                <w:color w:val="000000" w:themeColor="text1"/>
                <w:sz w:val="20"/>
                <w:szCs w:val="20"/>
              </w:rPr>
              <w:t>i</w:t>
            </w:r>
            <w:r w:rsidRPr="0035640D">
              <w:rPr>
                <w:rFonts w:ascii="Aptos" w:eastAsia="Calibri" w:hAnsi="Aptos" w:cs="Arial"/>
                <w:bCs/>
                <w:color w:val="000000" w:themeColor="text1"/>
                <w:sz w:val="20"/>
                <w:szCs w:val="20"/>
              </w:rPr>
              <w:t>sierungs</w:t>
            </w:r>
            <w:r w:rsidR="00BF1A26">
              <w:rPr>
                <w:rFonts w:ascii="Aptos" w:eastAsia="Calibri" w:hAnsi="Aptos" w:cs="Arial"/>
                <w:bCs/>
                <w:color w:val="000000" w:themeColor="text1"/>
                <w:sz w:val="20"/>
                <w:szCs w:val="20"/>
              </w:rPr>
              <w:t>a</w:t>
            </w:r>
            <w:r w:rsidRPr="0035640D">
              <w:rPr>
                <w:rFonts w:ascii="Aptos" w:eastAsia="Calibri" w:hAnsi="Aptos" w:cs="Arial"/>
                <w:bCs/>
                <w:color w:val="000000" w:themeColor="text1"/>
                <w:sz w:val="20"/>
                <w:szCs w:val="20"/>
              </w:rPr>
              <w:t xml:space="preserve">rten wird in die Modellierungs- und Umsetzungsprozesse eingebunden – als Erweiterung der «Modellierungsempfehlungen» (GeoStandards.ch). </w:t>
            </w:r>
            <w:r w:rsidRPr="0035640D">
              <w:rPr>
                <w:rFonts w:ascii="Aptos" w:eastAsia="Calibri" w:hAnsi="Aptos" w:cs="Arial"/>
                <w:bCs/>
                <w:sz w:val="20"/>
                <w:szCs w:val="20"/>
              </w:rPr>
              <w:t>Ergänzte und angepasste Aktion.</w:t>
            </w:r>
          </w:p>
        </w:tc>
      </w:tr>
      <w:tr w:rsidR="007E32B6" w:rsidRPr="0035640D" w14:paraId="08F795AF" w14:textId="77777777">
        <w:trPr>
          <w:trHeight w:val="392"/>
        </w:trPr>
        <w:tc>
          <w:tcPr>
            <w:tcW w:w="9354" w:type="dxa"/>
            <w:gridSpan w:val="3"/>
          </w:tcPr>
          <w:p w14:paraId="367A32B2"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Analysebericht Umfrage, Faktenblatt Harmonisierungsarten.</w:t>
            </w:r>
          </w:p>
        </w:tc>
      </w:tr>
      <w:tr w:rsidR="007E32B6" w:rsidRPr="0035640D" w14:paraId="3C644A4D" w14:textId="77777777">
        <w:trPr>
          <w:trHeight w:val="392"/>
        </w:trPr>
        <w:tc>
          <w:tcPr>
            <w:tcW w:w="9354" w:type="dxa"/>
            <w:gridSpan w:val="3"/>
          </w:tcPr>
          <w:p w14:paraId="1D3604D6"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Analysebericht, Faktenblatt, Aufnahme «Modellierungsempfehlungen».</w:t>
            </w:r>
          </w:p>
        </w:tc>
      </w:tr>
      <w:tr w:rsidR="007E32B6" w:rsidRPr="0035640D" w14:paraId="09F58801" w14:textId="77777777" w:rsidTr="00F32032">
        <w:trPr>
          <w:trHeight w:val="392"/>
        </w:trPr>
        <w:tc>
          <w:tcPr>
            <w:tcW w:w="4677" w:type="dxa"/>
            <w:gridSpan w:val="2"/>
          </w:tcPr>
          <w:p w14:paraId="6E834D87"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Melanie Sütterlin.</w:t>
            </w:r>
          </w:p>
        </w:tc>
        <w:tc>
          <w:tcPr>
            <w:tcW w:w="4677" w:type="dxa"/>
            <w:shd w:val="clear" w:color="auto" w:fill="F2F2F2" w:themeFill="background1" w:themeFillShade="F2"/>
          </w:tcPr>
          <w:p w14:paraId="3E4220EA"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0.— SFr. (Eigenleistung)</w:t>
            </w:r>
          </w:p>
        </w:tc>
      </w:tr>
    </w:tbl>
    <w:p w14:paraId="2B6F3D6B" w14:textId="77777777" w:rsidR="007E32B6" w:rsidRPr="0035640D" w:rsidRDefault="007E32B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306800D6" w14:textId="77777777">
        <w:trPr>
          <w:trHeight w:val="719"/>
        </w:trPr>
        <w:tc>
          <w:tcPr>
            <w:tcW w:w="907" w:type="dxa"/>
            <w:shd w:val="clear" w:color="auto" w:fill="BFBFBF" w:themeFill="background1" w:themeFillShade="BF"/>
          </w:tcPr>
          <w:p w14:paraId="65940E68"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lastRenderedPageBreak/>
              <w:t>2-25-1</w:t>
            </w:r>
          </w:p>
        </w:tc>
        <w:tc>
          <w:tcPr>
            <w:tcW w:w="8447" w:type="dxa"/>
            <w:gridSpan w:val="2"/>
            <w:shd w:val="clear" w:color="auto" w:fill="F2F2F2" w:themeFill="background1" w:themeFillShade="F2"/>
          </w:tcPr>
          <w:p w14:paraId="7BF99221"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iCs/>
                <w:color w:val="000000" w:themeColor="text1"/>
              </w:rPr>
              <w:t>Nachhaltige Verfügbarkeit von Geodaten</w:t>
            </w:r>
            <w:r w:rsidRPr="0035640D">
              <w:rPr>
                <w:rFonts w:ascii="Aptos" w:eastAsia="Calibri" w:hAnsi="Aptos" w:cs="Arial"/>
                <w:bCs/>
                <w:iCs/>
                <w:color w:val="000000" w:themeColor="text1"/>
              </w:rPr>
              <w:t xml:space="preserve"> konkretisieren und eine Umsetzungsvorgabe erarbeiten.</w:t>
            </w:r>
          </w:p>
        </w:tc>
      </w:tr>
      <w:tr w:rsidR="007E32B6" w:rsidRPr="0035640D" w14:paraId="6F494170" w14:textId="77777777">
        <w:trPr>
          <w:trHeight w:val="60"/>
        </w:trPr>
        <w:tc>
          <w:tcPr>
            <w:tcW w:w="9354" w:type="dxa"/>
            <w:gridSpan w:val="3"/>
          </w:tcPr>
          <w:p w14:paraId="20F4ED88" w14:textId="42C2A136"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Die nachhaltige Verfügbarkeit von Geodaten ist schon lange ein Bedürfnis im Rahmen der NGDI, wurde bislang aber noch nicht einheitlich implementiert. Es liegen Grundlagen und Konzepte vor, die berücksichtigt werden sollen. Konkrete Umsetzungsvorgaben sind zu erarbeiten und soll von den wichtigen Stakeholdern mitgetragen werden. Mit den Vorgaben werden insbesondere Anforderungen an die Form der Datenhaltung und -dokumentation definiert (Geometadaten, Datenmodelle, </w:t>
            </w:r>
            <w:proofErr w:type="spellStart"/>
            <w:r w:rsidRPr="0035640D">
              <w:rPr>
                <w:rFonts w:ascii="Aptos" w:eastAsia="Calibri" w:hAnsi="Aptos" w:cs="Arial"/>
                <w:bCs/>
                <w:color w:val="000000" w:themeColor="text1"/>
                <w:sz w:val="20"/>
                <w:szCs w:val="20"/>
              </w:rPr>
              <w:t>Zusatzdok</w:t>
            </w:r>
            <w:r w:rsidR="00BF1A26">
              <w:rPr>
                <w:rFonts w:ascii="Aptos" w:eastAsia="Calibri" w:hAnsi="Aptos" w:cs="Arial"/>
                <w:bCs/>
                <w:color w:val="000000" w:themeColor="text1"/>
                <w:sz w:val="20"/>
                <w:szCs w:val="20"/>
              </w:rPr>
              <w:t>u</w:t>
            </w:r>
            <w:proofErr w:type="spellEnd"/>
            <w:r w:rsidRPr="0035640D">
              <w:rPr>
                <w:rFonts w:ascii="Aptos" w:eastAsia="Calibri" w:hAnsi="Aptos" w:cs="Arial"/>
                <w:bCs/>
                <w:color w:val="000000" w:themeColor="text1"/>
                <w:sz w:val="20"/>
                <w:szCs w:val="20"/>
              </w:rPr>
              <w:t xml:space="preserve">.). </w:t>
            </w:r>
          </w:p>
        </w:tc>
      </w:tr>
      <w:tr w:rsidR="007E32B6" w:rsidRPr="0035640D" w14:paraId="509162DB" w14:textId="77777777">
        <w:trPr>
          <w:trHeight w:val="64"/>
        </w:trPr>
        <w:tc>
          <w:tcPr>
            <w:tcW w:w="9354" w:type="dxa"/>
            <w:gridSpan w:val="3"/>
          </w:tcPr>
          <w:p w14:paraId="68604704" w14:textId="63F8F9C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Es werden keine produktiven Anwendungen entwickelt</w:t>
            </w:r>
            <w:r w:rsidR="002568FB">
              <w:rPr>
                <w:rFonts w:ascii="Aptos" w:eastAsia="Calibri" w:hAnsi="Aptos" w:cs="Arial"/>
                <w:bCs/>
                <w:color w:val="000000" w:themeColor="text1"/>
                <w:sz w:val="20"/>
                <w:szCs w:val="20"/>
              </w:rPr>
              <w:t>, lediglich</w:t>
            </w:r>
            <w:r w:rsidRPr="0035640D">
              <w:rPr>
                <w:rFonts w:ascii="Aptos" w:eastAsia="Calibri" w:hAnsi="Aptos" w:cs="Arial"/>
                <w:bCs/>
                <w:color w:val="000000" w:themeColor="text1"/>
                <w:sz w:val="20"/>
                <w:szCs w:val="20"/>
              </w:rPr>
              <w:t xml:space="preserve"> PoC. Der Fokus liegt auf der Datenhaltung (gemäss Artikel 14 GeoIV)</w:t>
            </w:r>
            <w:r w:rsidR="002568FB">
              <w:rPr>
                <w:rFonts w:ascii="Aptos" w:eastAsia="Calibri" w:hAnsi="Aptos" w:cs="Arial"/>
                <w:bCs/>
                <w:color w:val="000000" w:themeColor="text1"/>
                <w:sz w:val="20"/>
                <w:szCs w:val="20"/>
              </w:rPr>
              <w:t>, nicht auf der Datenpublikation</w:t>
            </w:r>
            <w:r w:rsidRPr="0035640D">
              <w:rPr>
                <w:rFonts w:ascii="Aptos" w:eastAsia="Calibri" w:hAnsi="Aptos" w:cs="Arial"/>
                <w:bCs/>
                <w:color w:val="000000" w:themeColor="text1"/>
                <w:sz w:val="20"/>
                <w:szCs w:val="20"/>
              </w:rPr>
              <w:t>.</w:t>
            </w:r>
          </w:p>
        </w:tc>
      </w:tr>
      <w:tr w:rsidR="007E32B6" w:rsidRPr="0035640D" w14:paraId="7A0AAF67" w14:textId="77777777">
        <w:trPr>
          <w:trHeight w:val="391"/>
        </w:trPr>
        <w:tc>
          <w:tcPr>
            <w:tcW w:w="9354" w:type="dxa"/>
            <w:gridSpan w:val="3"/>
            <w:shd w:val="clear" w:color="auto" w:fill="F2F2F2" w:themeFill="background1" w:themeFillShade="F2"/>
          </w:tcPr>
          <w:p w14:paraId="748A55CE"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Abhängigkeit</w:t>
            </w:r>
            <w:r w:rsidRPr="0035640D">
              <w:rPr>
                <w:rFonts w:ascii="Aptos" w:eastAsia="Calibri" w:hAnsi="Aptos" w:cs="Arial"/>
                <w:bCs/>
                <w:color w:val="000000" w:themeColor="text1"/>
                <w:sz w:val="20"/>
                <w:szCs w:val="20"/>
              </w:rPr>
              <w:t>: Geostandards.ch (4D/Historisierung).</w:t>
            </w:r>
          </w:p>
        </w:tc>
      </w:tr>
      <w:tr w:rsidR="007E32B6" w:rsidRPr="0035640D" w14:paraId="7075C2F1" w14:textId="77777777">
        <w:trPr>
          <w:trHeight w:val="392"/>
        </w:trPr>
        <w:tc>
          <w:tcPr>
            <w:tcW w:w="9354" w:type="dxa"/>
            <w:gridSpan w:val="3"/>
          </w:tcPr>
          <w:p w14:paraId="06F7EE18"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Abgestimmte Umsetzungsvorgabe (z.B. Weisung, eCH Standard), optional: PoC.</w:t>
            </w:r>
          </w:p>
        </w:tc>
      </w:tr>
      <w:tr w:rsidR="007E32B6" w:rsidRPr="0035640D" w14:paraId="3EB7130A" w14:textId="77777777">
        <w:trPr>
          <w:trHeight w:val="392"/>
        </w:trPr>
        <w:tc>
          <w:tcPr>
            <w:tcW w:w="9354" w:type="dxa"/>
            <w:gridSpan w:val="3"/>
          </w:tcPr>
          <w:p w14:paraId="70C4888A"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Umsetzungsvorgabe durch das SGS-Management. Je nach Lieferobjekt eventuell übergeordnete, stufengerechte Abnahme erforderlich.</w:t>
            </w:r>
          </w:p>
        </w:tc>
      </w:tr>
      <w:tr w:rsidR="007E32B6" w:rsidRPr="0035640D" w14:paraId="673E7C3F" w14:textId="77777777" w:rsidTr="0035640D">
        <w:trPr>
          <w:trHeight w:val="392"/>
        </w:trPr>
        <w:tc>
          <w:tcPr>
            <w:tcW w:w="4677" w:type="dxa"/>
            <w:gridSpan w:val="2"/>
          </w:tcPr>
          <w:p w14:paraId="106238AF"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Patrick Ibele.</w:t>
            </w:r>
          </w:p>
        </w:tc>
        <w:tc>
          <w:tcPr>
            <w:tcW w:w="4677" w:type="dxa"/>
            <w:shd w:val="clear" w:color="auto" w:fill="F2F2F2" w:themeFill="background1" w:themeFillShade="F2"/>
          </w:tcPr>
          <w:p w14:paraId="23254115" w14:textId="77777777" w:rsidR="007E32B6" w:rsidRPr="0035640D" w:rsidRDefault="0095488E">
            <w:pPr>
              <w:spacing w:before="60" w:after="60" w:line="276" w:lineRule="auto"/>
              <w:ind w:left="39"/>
              <w:rPr>
                <w:rFonts w:ascii="Aptos" w:hAnsi="Aptos" w:cs="Arial"/>
                <w:color w:val="000000" w:themeColor="text1"/>
                <w:sz w:val="20"/>
                <w:szCs w:val="20"/>
                <w:highlight w:val="yellow"/>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50,000.— SFr.</w:t>
            </w:r>
          </w:p>
        </w:tc>
      </w:tr>
    </w:tbl>
    <w:p w14:paraId="587C8C6B" w14:textId="77777777" w:rsidR="00BF1A26" w:rsidRDefault="00BF1A2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043C9427" w14:textId="77777777">
        <w:trPr>
          <w:trHeight w:val="719"/>
        </w:trPr>
        <w:tc>
          <w:tcPr>
            <w:tcW w:w="907" w:type="dxa"/>
            <w:shd w:val="clear" w:color="auto" w:fill="8CBBAD"/>
          </w:tcPr>
          <w:p w14:paraId="7AC4221B"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2-26-1</w:t>
            </w:r>
          </w:p>
        </w:tc>
        <w:tc>
          <w:tcPr>
            <w:tcW w:w="8447" w:type="dxa"/>
            <w:gridSpan w:val="2"/>
            <w:shd w:val="clear" w:color="auto" w:fill="DCEBE6"/>
          </w:tcPr>
          <w:p w14:paraId="515D52C1"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bCs/>
                <w:iCs/>
                <w:color w:val="000000" w:themeColor="text1"/>
              </w:rPr>
              <w:t>LKCH</w:t>
            </w:r>
            <w:r w:rsidRPr="0035640D">
              <w:rPr>
                <w:rFonts w:ascii="Aptos" w:eastAsia="Calibri" w:hAnsi="Aptos" w:cs="Arial"/>
                <w:iCs/>
                <w:color w:val="000000" w:themeColor="text1"/>
              </w:rPr>
              <w:t xml:space="preserve">: Weiterentwicklung der </w:t>
            </w:r>
            <w:r w:rsidRPr="0035640D">
              <w:rPr>
                <w:rFonts w:ascii="Aptos" w:eastAsia="Calibri" w:hAnsi="Aptos" w:cs="Arial"/>
                <w:b/>
                <w:bCs/>
                <w:iCs/>
                <w:color w:val="000000" w:themeColor="text1"/>
              </w:rPr>
              <w:t xml:space="preserve">Planauszug-Bereitstellung DXF/PDF </w:t>
            </w:r>
            <w:r w:rsidRPr="001039B6">
              <w:rPr>
                <w:rFonts w:ascii="Aptos" w:eastAsia="Calibri" w:hAnsi="Aptos" w:cs="Arial"/>
                <w:iCs/>
                <w:color w:val="000000" w:themeColor="text1"/>
              </w:rPr>
              <w:t>auf geodienste.ch</w:t>
            </w:r>
          </w:p>
        </w:tc>
      </w:tr>
      <w:tr w:rsidR="007E32B6" w:rsidRPr="0035640D" w14:paraId="2A1BE155" w14:textId="77777777">
        <w:trPr>
          <w:trHeight w:val="60"/>
        </w:trPr>
        <w:tc>
          <w:tcPr>
            <w:tcW w:w="9354" w:type="dxa"/>
            <w:gridSpan w:val="3"/>
          </w:tcPr>
          <w:p w14:paraId="230C4E13"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w:t>
            </w:r>
            <w:r w:rsidRPr="0035640D">
              <w:rPr>
                <w:rFonts w:ascii="Aptos" w:eastAsia="Calibri" w:hAnsi="Aptos" w:cs="Arial"/>
                <w:bCs/>
                <w:sz w:val="20"/>
                <w:szCs w:val="20"/>
              </w:rPr>
              <w:t xml:space="preserve">Koordination der Einführung der Bereitstellung des Planauszugs DXF/PDF auf geodienste.ch bei den Kantonen und Netzbetreibenden. Bedarfsgerechte Erweiterung der Schnittstellen und Unterstützung der revidierten Norm SIA405 </w:t>
            </w:r>
            <w:proofErr w:type="spellStart"/>
            <w:r w:rsidRPr="0035640D">
              <w:rPr>
                <w:rFonts w:ascii="Aptos" w:eastAsia="Calibri" w:hAnsi="Aptos" w:cs="Arial"/>
                <w:bCs/>
                <w:sz w:val="20"/>
                <w:szCs w:val="20"/>
              </w:rPr>
              <w:t>LKMap</w:t>
            </w:r>
            <w:proofErr w:type="spellEnd"/>
            <w:r w:rsidRPr="0035640D">
              <w:rPr>
                <w:rFonts w:ascii="Aptos" w:eastAsia="Calibri" w:hAnsi="Aptos" w:cs="Arial"/>
                <w:bCs/>
                <w:sz w:val="20"/>
                <w:szCs w:val="20"/>
              </w:rPr>
              <w:t xml:space="preserve"> (2025). Konzeption und Umsetzung des grundstücksbezogenen Auszugs. Die Realisierung hat in enger Abstimmung mit der Projektleitung LKCH zu erfolgen.</w:t>
            </w:r>
          </w:p>
        </w:tc>
      </w:tr>
      <w:tr w:rsidR="007E32B6" w:rsidRPr="0035640D" w14:paraId="3F601D91" w14:textId="77777777">
        <w:trPr>
          <w:trHeight w:val="391"/>
        </w:trPr>
        <w:tc>
          <w:tcPr>
            <w:tcW w:w="9354" w:type="dxa"/>
            <w:gridSpan w:val="3"/>
            <w:shd w:val="clear" w:color="auto" w:fill="DCEBE6"/>
          </w:tcPr>
          <w:p w14:paraId="0AA036B9"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Abhängigkeit</w:t>
            </w:r>
            <w:r w:rsidRPr="0035640D">
              <w:rPr>
                <w:rFonts w:ascii="Aptos" w:eastAsia="Calibri" w:hAnsi="Aptos" w:cs="Arial"/>
                <w:bCs/>
                <w:color w:val="000000" w:themeColor="text1"/>
                <w:sz w:val="20"/>
                <w:szCs w:val="20"/>
              </w:rPr>
              <w:t>: Resultate der Aktion 2-24-2.</w:t>
            </w:r>
          </w:p>
        </w:tc>
      </w:tr>
      <w:tr w:rsidR="007E32B6" w:rsidRPr="0035640D" w14:paraId="71015FB8" w14:textId="77777777">
        <w:trPr>
          <w:trHeight w:val="392"/>
        </w:trPr>
        <w:tc>
          <w:tcPr>
            <w:tcW w:w="9354" w:type="dxa"/>
            <w:gridSpan w:val="3"/>
          </w:tcPr>
          <w:p w14:paraId="655B0CA7" w14:textId="100BCDD4"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iCs/>
                <w:color w:val="000000" w:themeColor="text1"/>
                <w:sz w:val="20"/>
                <w:szCs w:val="20"/>
              </w:rPr>
              <w:t>Produktive Schnittstelle für LKCH-Planauszüge auf geodienste.ch, Dokumentation</w:t>
            </w:r>
            <w:r w:rsidR="002568FB">
              <w:rPr>
                <w:rFonts w:ascii="Aptos" w:eastAsia="Calibri" w:hAnsi="Aptos" w:cs="Arial"/>
                <w:iCs/>
                <w:color w:val="000000" w:themeColor="text1"/>
                <w:sz w:val="20"/>
                <w:szCs w:val="20"/>
              </w:rPr>
              <w:t>/</w:t>
            </w:r>
            <w:proofErr w:type="spellStart"/>
            <w:r w:rsidRPr="0035640D">
              <w:rPr>
                <w:rFonts w:ascii="Aptos" w:eastAsia="Calibri" w:hAnsi="Aptos" w:cs="Arial"/>
                <w:iCs/>
                <w:color w:val="000000" w:themeColor="text1"/>
                <w:sz w:val="20"/>
                <w:szCs w:val="20"/>
              </w:rPr>
              <w:t>Anlei</w:t>
            </w:r>
            <w:r w:rsidR="002568FB">
              <w:rPr>
                <w:rFonts w:ascii="Aptos" w:eastAsia="Calibri" w:hAnsi="Aptos" w:cs="Arial"/>
                <w:iCs/>
                <w:color w:val="000000" w:themeColor="text1"/>
                <w:sz w:val="20"/>
                <w:szCs w:val="20"/>
              </w:rPr>
              <w:t>tg</w:t>
            </w:r>
            <w:proofErr w:type="spellEnd"/>
            <w:r w:rsidRPr="0035640D">
              <w:rPr>
                <w:rFonts w:ascii="Aptos" w:eastAsia="Calibri" w:hAnsi="Aptos" w:cs="Arial"/>
                <w:iCs/>
                <w:color w:val="000000" w:themeColor="text1"/>
                <w:sz w:val="20"/>
                <w:szCs w:val="20"/>
              </w:rPr>
              <w:t>.</w:t>
            </w:r>
          </w:p>
        </w:tc>
      </w:tr>
      <w:tr w:rsidR="007E32B6" w:rsidRPr="0035640D" w14:paraId="1DBD718F" w14:textId="77777777">
        <w:trPr>
          <w:trHeight w:val="392"/>
        </w:trPr>
        <w:tc>
          <w:tcPr>
            <w:tcW w:w="9354" w:type="dxa"/>
            <w:gridSpan w:val="3"/>
          </w:tcPr>
          <w:p w14:paraId="5CC21C1D"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Technische Abnahme der Schnittstelle und Abnahme der Dokumentation.</w:t>
            </w:r>
          </w:p>
        </w:tc>
      </w:tr>
      <w:tr w:rsidR="007E32B6" w:rsidRPr="0035640D" w14:paraId="720B4761" w14:textId="77777777" w:rsidTr="0035640D">
        <w:trPr>
          <w:trHeight w:val="392"/>
        </w:trPr>
        <w:tc>
          <w:tcPr>
            <w:tcW w:w="4677" w:type="dxa"/>
            <w:gridSpan w:val="2"/>
          </w:tcPr>
          <w:p w14:paraId="07BA3971"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sz w:val="20"/>
                <w:szCs w:val="20"/>
              </w:rPr>
              <w:t>: Dominic Kottmann.</w:t>
            </w:r>
          </w:p>
        </w:tc>
        <w:tc>
          <w:tcPr>
            <w:tcW w:w="4677" w:type="dxa"/>
            <w:shd w:val="clear" w:color="auto" w:fill="DCEBE6"/>
          </w:tcPr>
          <w:p w14:paraId="0E3A6A43"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0.— SFr. (Eigenleistung)</w:t>
            </w:r>
          </w:p>
        </w:tc>
      </w:tr>
    </w:tbl>
    <w:p w14:paraId="35BE5989" w14:textId="77777777" w:rsidR="007E32B6" w:rsidRPr="0035640D" w:rsidRDefault="007E32B6">
      <w:pPr>
        <w:spacing w:line="276" w:lineRule="auto"/>
        <w:rPr>
          <w:rFonts w:ascii="Aptos" w:hAnsi="Aptos" w:cs="Arial"/>
        </w:rPr>
      </w:pPr>
      <w:bookmarkStart w:id="22" w:name="_Hlk207032100"/>
      <w:bookmarkEnd w:id="22"/>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488BE17C" w14:textId="77777777">
        <w:trPr>
          <w:trHeight w:val="719"/>
        </w:trPr>
        <w:tc>
          <w:tcPr>
            <w:tcW w:w="907" w:type="dxa"/>
            <w:shd w:val="clear" w:color="auto" w:fill="8CBBAD"/>
          </w:tcPr>
          <w:p w14:paraId="627DBC00"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2-26-2</w:t>
            </w:r>
          </w:p>
        </w:tc>
        <w:tc>
          <w:tcPr>
            <w:tcW w:w="8447" w:type="dxa"/>
            <w:gridSpan w:val="2"/>
            <w:shd w:val="clear" w:color="auto" w:fill="DCEBE6"/>
          </w:tcPr>
          <w:p w14:paraId="0CA24709"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bCs/>
                <w:iCs/>
                <w:color w:val="000000" w:themeColor="text1"/>
              </w:rPr>
              <w:t xml:space="preserve">Integration </w:t>
            </w:r>
            <w:r w:rsidRPr="0035640D">
              <w:rPr>
                <w:rFonts w:ascii="Aptos" w:eastAsia="Calibri" w:hAnsi="Aptos" w:cs="Arial"/>
                <w:bCs/>
                <w:iCs/>
                <w:color w:val="000000" w:themeColor="text1"/>
              </w:rPr>
              <w:t>der Daten der amtlichen Vermessung (</w:t>
            </w:r>
            <w:r w:rsidRPr="0035640D">
              <w:rPr>
                <w:rFonts w:ascii="Aptos" w:eastAsia="Calibri" w:hAnsi="Aptos" w:cs="Arial"/>
                <w:b/>
                <w:bCs/>
                <w:iCs/>
                <w:color w:val="000000" w:themeColor="text1"/>
              </w:rPr>
              <w:t>AV</w:t>
            </w:r>
            <w:r w:rsidRPr="0035640D">
              <w:rPr>
                <w:rFonts w:ascii="Aptos" w:eastAsia="Calibri" w:hAnsi="Aptos" w:cs="Arial"/>
                <w:bCs/>
                <w:iCs/>
                <w:color w:val="000000" w:themeColor="text1"/>
              </w:rPr>
              <w:t>) in die BGDI /NGDI (</w:t>
            </w:r>
            <w:r w:rsidRPr="0035640D">
              <w:rPr>
                <w:rFonts w:ascii="Aptos" w:eastAsia="Calibri" w:hAnsi="Aptos" w:cs="Arial"/>
                <w:b/>
                <w:bCs/>
                <w:iCs/>
                <w:color w:val="000000" w:themeColor="text1"/>
              </w:rPr>
              <w:t>SWISSGEO)</w:t>
            </w:r>
          </w:p>
        </w:tc>
      </w:tr>
      <w:tr w:rsidR="007E32B6" w:rsidRPr="0035640D" w14:paraId="3C2BBAA0" w14:textId="77777777">
        <w:trPr>
          <w:trHeight w:val="60"/>
        </w:trPr>
        <w:tc>
          <w:tcPr>
            <w:tcW w:w="9354" w:type="dxa"/>
            <w:gridSpan w:val="3"/>
          </w:tcPr>
          <w:p w14:paraId="39563B3F" w14:textId="6C915048"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Konzeptentwicklung und Planung einer schrittweisen Integration der AV-Daten in die Bundes-Geodaten-Infrastruktur (BGDI) bzw. deren zukünftige Weiterentwicklung unter dem Label SWISSGEO. </w:t>
            </w:r>
            <w:r w:rsidRPr="00BF1A26">
              <w:rPr>
                <w:rFonts w:ascii="Aptos" w:eastAsia="Calibri" w:hAnsi="Aptos" w:cs="Arial"/>
                <w:color w:val="000000" w:themeColor="text1"/>
                <w:sz w:val="20"/>
                <w:szCs w:val="20"/>
              </w:rPr>
              <w:t>Dienst/Service: Bereitstellung eines Dienst der amtlichen Vermessung innerhalb der BGDI/NGDI.</w:t>
            </w:r>
            <w:r w:rsidRPr="00BF1A26">
              <w:rPr>
                <w:rFonts w:ascii="Aptos" w:eastAsia="Calibri" w:hAnsi="Aptos" w:cs="Arial"/>
                <w:color w:val="000000" w:themeColor="text1"/>
                <w:sz w:val="20"/>
                <w:szCs w:val="20"/>
              </w:rPr>
              <w:br/>
              <w:t>Daten: Es erfolgt keine</w:t>
            </w:r>
            <w:r w:rsidRPr="0035640D">
              <w:rPr>
                <w:rFonts w:ascii="Aptos" w:eastAsia="Calibri" w:hAnsi="Aptos" w:cs="Arial"/>
                <w:color w:val="000000" w:themeColor="text1"/>
                <w:sz w:val="20"/>
                <w:szCs w:val="20"/>
              </w:rPr>
              <w:t xml:space="preserve"> Datenbeschaffung der Kantone welche nicht OpenData sind.</w:t>
            </w:r>
          </w:p>
        </w:tc>
      </w:tr>
      <w:tr w:rsidR="007E32B6" w:rsidRPr="0035640D" w14:paraId="3B5AA89A" w14:textId="77777777">
        <w:trPr>
          <w:trHeight w:val="60"/>
        </w:trPr>
        <w:tc>
          <w:tcPr>
            <w:tcW w:w="9354" w:type="dxa"/>
            <w:gridSpan w:val="3"/>
          </w:tcPr>
          <w:p w14:paraId="74A364B0" w14:textId="77777777" w:rsidR="007E32B6" w:rsidRPr="0035640D" w:rsidRDefault="0095488E">
            <w:pPr>
              <w:spacing w:before="60" w:after="60" w:line="276" w:lineRule="auto"/>
              <w:rPr>
                <w:rFonts w:ascii="Aptos" w:eastAsia="Calibri" w:hAnsi="Aptos" w:cs="Arial"/>
                <w:b/>
                <w:bCs/>
                <w:color w:val="000000" w:themeColor="text1"/>
                <w:sz w:val="20"/>
                <w:szCs w:val="20"/>
              </w:rPr>
            </w:pPr>
            <w:r w:rsidRPr="0035640D">
              <w:rPr>
                <w:rFonts w:ascii="Aptos" w:eastAsia="Calibri" w:hAnsi="Aptos" w:cs="Arial"/>
                <w:b/>
                <w:bCs/>
                <w:color w:val="000000" w:themeColor="text1"/>
                <w:sz w:val="20"/>
                <w:szCs w:val="20"/>
              </w:rPr>
              <w:t xml:space="preserve">Abgrenzung: </w:t>
            </w:r>
            <w:r w:rsidRPr="0035640D">
              <w:rPr>
                <w:rFonts w:ascii="Aptos" w:eastAsia="Calibri" w:hAnsi="Aptos" w:cs="Arial"/>
                <w:color w:val="000000" w:themeColor="text1"/>
                <w:sz w:val="20"/>
                <w:szCs w:val="20"/>
              </w:rPr>
              <w:t>Zusammenarbeit mit den Kantonen und der Fachstelle des Bundes. Darstellungsmodell AV-WMS (eigenständiger Projektauftrag) separate Projektführung durch den Bereich Vermessung im Rahmen der Umsetzung für das neue Datenmodel.</w:t>
            </w:r>
          </w:p>
        </w:tc>
      </w:tr>
      <w:tr w:rsidR="007E32B6" w:rsidRPr="0035640D" w14:paraId="2B8DBDD9" w14:textId="77777777">
        <w:trPr>
          <w:trHeight w:val="391"/>
        </w:trPr>
        <w:tc>
          <w:tcPr>
            <w:tcW w:w="9354" w:type="dxa"/>
            <w:gridSpan w:val="3"/>
            <w:shd w:val="clear" w:color="auto" w:fill="DCEBE6"/>
          </w:tcPr>
          <w:p w14:paraId="2002EEBE" w14:textId="7811E2C1"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Abhängigkeit</w:t>
            </w:r>
            <w:r w:rsidRPr="0035640D">
              <w:rPr>
                <w:rFonts w:ascii="Aptos" w:eastAsia="Calibri" w:hAnsi="Aptos" w:cs="Arial"/>
                <w:bCs/>
                <w:color w:val="000000" w:themeColor="text1"/>
                <w:sz w:val="20"/>
                <w:szCs w:val="20"/>
              </w:rPr>
              <w:t>: Resultate der Aktion 7-26-1</w:t>
            </w:r>
            <w:r w:rsidR="00FE1ABC">
              <w:rPr>
                <w:rFonts w:ascii="Aptos" w:eastAsia="Calibri" w:hAnsi="Aptos" w:cs="Arial"/>
                <w:bCs/>
                <w:color w:val="000000" w:themeColor="text1"/>
                <w:sz w:val="20"/>
                <w:szCs w:val="20"/>
              </w:rPr>
              <w:t xml:space="preserve"> S</w:t>
            </w:r>
            <w:r w:rsidRPr="0035640D">
              <w:rPr>
                <w:rFonts w:ascii="Aptos" w:eastAsia="Calibri" w:hAnsi="Aptos" w:cs="Arial"/>
                <w:bCs/>
                <w:color w:val="000000" w:themeColor="text1"/>
                <w:sz w:val="20"/>
                <w:szCs w:val="20"/>
              </w:rPr>
              <w:t>WISSGEO.</w:t>
            </w:r>
          </w:p>
        </w:tc>
      </w:tr>
      <w:tr w:rsidR="007E32B6" w:rsidRPr="0035640D" w14:paraId="10E69D78" w14:textId="77777777">
        <w:trPr>
          <w:trHeight w:val="392"/>
        </w:trPr>
        <w:tc>
          <w:tcPr>
            <w:tcW w:w="9354" w:type="dxa"/>
            <w:gridSpan w:val="3"/>
          </w:tcPr>
          <w:p w14:paraId="77B90AF7"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iCs/>
                <w:color w:val="000000" w:themeColor="text1"/>
                <w:sz w:val="20"/>
                <w:szCs w:val="20"/>
              </w:rPr>
              <w:t>Transitionskonzept mit konkreten Massnahmen und einem Zeitplan.</w:t>
            </w:r>
          </w:p>
        </w:tc>
      </w:tr>
      <w:tr w:rsidR="007E32B6" w:rsidRPr="0035640D" w14:paraId="2EB04AA0" w14:textId="77777777">
        <w:trPr>
          <w:trHeight w:val="392"/>
        </w:trPr>
        <w:tc>
          <w:tcPr>
            <w:tcW w:w="9354" w:type="dxa"/>
            <w:gridSpan w:val="3"/>
          </w:tcPr>
          <w:p w14:paraId="7A33C242"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Dienste und Services sind operativ.</w:t>
            </w:r>
          </w:p>
        </w:tc>
      </w:tr>
      <w:tr w:rsidR="007E32B6" w:rsidRPr="0035640D" w14:paraId="50DC115B" w14:textId="77777777" w:rsidTr="0035640D">
        <w:trPr>
          <w:trHeight w:val="392"/>
        </w:trPr>
        <w:tc>
          <w:tcPr>
            <w:tcW w:w="4677" w:type="dxa"/>
            <w:gridSpan w:val="2"/>
          </w:tcPr>
          <w:p w14:paraId="3C2B9E4A"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sz w:val="20"/>
                <w:szCs w:val="20"/>
              </w:rPr>
              <w:t>: Patrick Ibele.</w:t>
            </w:r>
          </w:p>
        </w:tc>
        <w:tc>
          <w:tcPr>
            <w:tcW w:w="4677" w:type="dxa"/>
            <w:shd w:val="clear" w:color="auto" w:fill="DCEBE6"/>
          </w:tcPr>
          <w:p w14:paraId="70643F44"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0.— SFr. (Eigenleistung)</w:t>
            </w:r>
            <w:bookmarkStart w:id="23" w:name="_Hlk211341919"/>
            <w:bookmarkEnd w:id="23"/>
          </w:p>
        </w:tc>
      </w:tr>
    </w:tbl>
    <w:p w14:paraId="0A13459F" w14:textId="4FB267E7" w:rsidR="007E32B6" w:rsidRPr="0035640D" w:rsidRDefault="0095488E">
      <w:pPr>
        <w:pStyle w:val="berschrift3"/>
        <w:rPr>
          <w:rFonts w:ascii="Aptos" w:hAnsi="Aptos"/>
          <w:b/>
        </w:rPr>
      </w:pPr>
      <w:bookmarkStart w:id="24" w:name="_Toc211502015"/>
      <w:r w:rsidRPr="0035640D">
        <w:rPr>
          <w:rFonts w:ascii="Aptos" w:hAnsi="Aptos"/>
        </w:rPr>
        <w:lastRenderedPageBreak/>
        <w:t xml:space="preserve">Aktionsfeld 3: </w:t>
      </w:r>
      <w:r w:rsidRPr="0035640D">
        <w:rPr>
          <w:rFonts w:ascii="Aptos" w:hAnsi="Aptos"/>
          <w:b/>
        </w:rPr>
        <w:t>Prozesse erleichtern</w:t>
      </w:r>
      <w:bookmarkEnd w:id="24"/>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3074B756" w14:textId="77777777">
        <w:trPr>
          <w:trHeight w:val="719"/>
        </w:trPr>
        <w:tc>
          <w:tcPr>
            <w:tcW w:w="907" w:type="dxa"/>
            <w:shd w:val="clear" w:color="auto" w:fill="8CBBAD"/>
          </w:tcPr>
          <w:p w14:paraId="2062A221"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3-26-1</w:t>
            </w:r>
          </w:p>
        </w:tc>
        <w:tc>
          <w:tcPr>
            <w:tcW w:w="8447" w:type="dxa"/>
            <w:gridSpan w:val="2"/>
            <w:shd w:val="clear" w:color="auto" w:fill="DCEBE6"/>
          </w:tcPr>
          <w:p w14:paraId="02F29CC4"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iCs/>
                <w:color w:val="000000" w:themeColor="text1"/>
              </w:rPr>
              <w:t>GeoBIM</w:t>
            </w:r>
            <w:r w:rsidRPr="0035640D">
              <w:rPr>
                <w:rFonts w:ascii="Aptos" w:eastAsia="Calibri" w:hAnsi="Aptos" w:cs="Arial"/>
                <w:iCs/>
                <w:color w:val="000000" w:themeColor="text1"/>
              </w:rPr>
              <w:t xml:space="preserve">: Identifikation der aktuellen </w:t>
            </w:r>
            <w:r w:rsidRPr="0035640D">
              <w:rPr>
                <w:rFonts w:ascii="Aptos" w:eastAsia="Calibri" w:hAnsi="Aptos" w:cs="Arial"/>
                <w:b/>
                <w:bCs/>
                <w:iCs/>
                <w:color w:val="000000" w:themeColor="text1"/>
              </w:rPr>
              <w:t>Herausforderungen und Lücken</w:t>
            </w:r>
            <w:r w:rsidRPr="0035640D">
              <w:rPr>
                <w:rFonts w:ascii="Aptos" w:eastAsia="Calibri" w:hAnsi="Aptos" w:cs="Arial"/>
                <w:bCs/>
                <w:iCs/>
                <w:color w:val="000000" w:themeColor="text1"/>
              </w:rPr>
              <w:t>.</w:t>
            </w:r>
          </w:p>
        </w:tc>
      </w:tr>
      <w:tr w:rsidR="007E32B6" w:rsidRPr="0035640D" w14:paraId="7B1AD581" w14:textId="77777777">
        <w:trPr>
          <w:trHeight w:val="60"/>
        </w:trPr>
        <w:tc>
          <w:tcPr>
            <w:tcW w:w="9354" w:type="dxa"/>
            <w:gridSpan w:val="3"/>
          </w:tcPr>
          <w:p w14:paraId="08AA3790"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Die Etablierung von BIM-Prozessen in der Baubranche und in der Verwaltung gewinnt im Hinblick auf die Digitalisierung zunehmend an Bedeutung und wurde durch den Auftrag «Strukturelle Reformen» auf Bundesebene gefördert. BIM ist ein Querschnittsthema innerhalb der Verwaltung, bei dem Fachbereiche wie Tiefbau, Hochbau und Geoinformation eng kooperieren müssen.</w:t>
            </w:r>
          </w:p>
          <w:p w14:paraId="05224737"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Cs/>
                <w:color w:val="000000" w:themeColor="text1"/>
                <w:sz w:val="20"/>
                <w:szCs w:val="20"/>
              </w:rPr>
              <w:t xml:space="preserve">Im Zentrum der Schnittstelle GeoBIM stehen die Datenflüsse und die Durchgängigkeit der digitalen Prozesse zwischen den beiden Datenformaten. Die Schnittstelle GeoBIM betrachtet deshalb ein breites Spektrum an Aspekten, darunter die Normung und Standardisierung, Datenpflege, Technologieplattform und </w:t>
            </w:r>
            <w:proofErr w:type="spellStart"/>
            <w:r w:rsidRPr="0035640D">
              <w:rPr>
                <w:rFonts w:ascii="Aptos" w:eastAsia="Calibri" w:hAnsi="Aptos" w:cs="Arial"/>
                <w:bCs/>
                <w:color w:val="000000" w:themeColor="text1"/>
                <w:sz w:val="20"/>
                <w:szCs w:val="20"/>
              </w:rPr>
              <w:t>Governance</w:t>
            </w:r>
            <w:proofErr w:type="spellEnd"/>
            <w:r w:rsidRPr="0035640D">
              <w:rPr>
                <w:rFonts w:ascii="Aptos" w:eastAsia="Calibri" w:hAnsi="Aptos" w:cs="Arial"/>
                <w:bCs/>
                <w:color w:val="000000" w:themeColor="text1"/>
                <w:sz w:val="20"/>
                <w:szCs w:val="20"/>
              </w:rPr>
              <w:t>. Geodaten sind unter all diesen Aspekten eine wichtige Grundlage in den BIM-Prozessen. Umgekehrt sollen die BIM-Daten in absehbarer Zukunft in den Lebenszyklus von Geodaten integriert werden. Die Geobranche muss sich deshalb mit den damit verbundenen organisatorischen und technischen Aspekten auseinandersetzen.</w:t>
            </w:r>
          </w:p>
          <w:p w14:paraId="0F12A96E"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Cs/>
                <w:color w:val="000000" w:themeColor="text1"/>
                <w:sz w:val="20"/>
                <w:szCs w:val="20"/>
              </w:rPr>
              <w:t>Die Thematik ist interdisziplinär, die Aufgaben der öffentlichen Verwaltung in dem Bereich unterscheiden sich je nach Verwaltungsebene und es spielen private Interessenvertreter (wie Bauen digitale Schweiz und andere Organisationen) im Ökosystem mit. All diese Aspekte führen zu einem vielfältigen und komplexen Umfeld. Frühere schweizweite Koordinationsversuche, wie die Nationale Koordination GeoBIM und die SIA Arbeitsgruppe GeoBIM, sind aus diversen Gründen leider nicht gelungen.</w:t>
            </w:r>
          </w:p>
          <w:p w14:paraId="59FA8706" w14:textId="77777777"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Cs/>
                <w:color w:val="000000" w:themeColor="text1"/>
                <w:sz w:val="20"/>
                <w:szCs w:val="20"/>
              </w:rPr>
              <w:t>Im Rahmen der SGS hat als Projekt eine erste Auslegeordnung zu GeoBIM gestartet (noch in Bearbeitung). Möglicherweise stellt diese Auslegeordnung ein erstes Bild des Umfelds dar und es ist eine vertiefte Sichtweise erforderlich, um die Probleme genauer identifizieren zu können. Die Projektgruppe schlägt deshalb vor, auf Basis der Auslegeordnung GeoBIM vertiefte Interviews und Workshops zu führen, um die aktuellen Herausforderungen im Bereich GeoBIM in der Schweiz zu präzisieren. Dabei sollen bestehende Aktivitäten in diesem Bereich aufgezeigt werden, welche Wirkung sie haben und welche Lücken bestehen bleiben.</w:t>
            </w:r>
          </w:p>
        </w:tc>
      </w:tr>
      <w:tr w:rsidR="007E32B6" w:rsidRPr="0035640D" w14:paraId="25FD8DA5" w14:textId="77777777">
        <w:trPr>
          <w:trHeight w:val="392"/>
        </w:trPr>
        <w:tc>
          <w:tcPr>
            <w:tcW w:w="9354" w:type="dxa"/>
            <w:gridSpan w:val="3"/>
          </w:tcPr>
          <w:p w14:paraId="4F7DBE62"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iCs/>
                <w:color w:val="000000" w:themeColor="text1"/>
                <w:sz w:val="20"/>
                <w:szCs w:val="20"/>
              </w:rPr>
              <w:t>Dokumentation des Handlungsbedarfs und Massnahmen-Vorschläge.</w:t>
            </w:r>
          </w:p>
        </w:tc>
      </w:tr>
      <w:tr w:rsidR="007E32B6" w:rsidRPr="0035640D" w14:paraId="4085AC39" w14:textId="77777777">
        <w:trPr>
          <w:trHeight w:val="392"/>
        </w:trPr>
        <w:tc>
          <w:tcPr>
            <w:tcW w:w="9354" w:type="dxa"/>
            <w:gridSpan w:val="3"/>
          </w:tcPr>
          <w:p w14:paraId="0B2FB6D4"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Bericht.</w:t>
            </w:r>
          </w:p>
        </w:tc>
      </w:tr>
      <w:tr w:rsidR="007E32B6" w:rsidRPr="0035640D" w14:paraId="24A876DE" w14:textId="77777777" w:rsidTr="0035640D">
        <w:trPr>
          <w:trHeight w:val="392"/>
        </w:trPr>
        <w:tc>
          <w:tcPr>
            <w:tcW w:w="4677" w:type="dxa"/>
            <w:gridSpan w:val="2"/>
          </w:tcPr>
          <w:p w14:paraId="632CCBF0" w14:textId="77777777" w:rsidR="007E32B6" w:rsidRPr="0035640D" w:rsidRDefault="0095488E">
            <w:pPr>
              <w:spacing w:before="60" w:after="60" w:line="276" w:lineRule="auto"/>
              <w:ind w:left="39"/>
              <w:rPr>
                <w:rFonts w:ascii="Aptos" w:hAnsi="Aptos" w:cs="Arial"/>
                <w:sz w:val="20"/>
                <w:szCs w:val="20"/>
                <w:u w:val="single"/>
              </w:rPr>
            </w:pPr>
            <w:r w:rsidRPr="0035640D">
              <w:rPr>
                <w:rFonts w:ascii="Aptos" w:eastAsia="Calibri" w:hAnsi="Aptos" w:cs="Arial"/>
                <w:b/>
                <w:sz w:val="20"/>
                <w:szCs w:val="20"/>
              </w:rPr>
              <w:t>Zuständig seitens SGS</w:t>
            </w:r>
            <w:r w:rsidRPr="0035640D">
              <w:rPr>
                <w:rFonts w:ascii="Aptos" w:eastAsia="Calibri" w:hAnsi="Aptos" w:cs="Arial"/>
                <w:sz w:val="20"/>
                <w:szCs w:val="20"/>
              </w:rPr>
              <w:t>: Filipa Machado.</w:t>
            </w:r>
          </w:p>
        </w:tc>
        <w:tc>
          <w:tcPr>
            <w:tcW w:w="4677" w:type="dxa"/>
            <w:shd w:val="clear" w:color="auto" w:fill="DCEBE6"/>
          </w:tcPr>
          <w:p w14:paraId="4898B018" w14:textId="77777777" w:rsidR="007E32B6" w:rsidRPr="0035640D" w:rsidRDefault="0095488E">
            <w:pPr>
              <w:spacing w:before="60" w:after="60" w:line="276" w:lineRule="auto"/>
              <w:ind w:left="39"/>
              <w:rPr>
                <w:rFonts w:ascii="Aptos" w:hAnsi="Aptos" w:cs="Arial"/>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30,000.— SFr.</w:t>
            </w:r>
          </w:p>
        </w:tc>
      </w:tr>
    </w:tbl>
    <w:p w14:paraId="6DE4D692" w14:textId="77777777" w:rsidR="007E32B6" w:rsidRPr="0035640D" w:rsidRDefault="007E32B6">
      <w:pPr>
        <w:spacing w:line="276" w:lineRule="auto"/>
        <w:rPr>
          <w:rFonts w:ascii="Aptos" w:hAnsi="Aptos" w:cs="Arial"/>
        </w:rPr>
      </w:pPr>
      <w:bookmarkStart w:id="25" w:name="_Hlk207032486"/>
      <w:bookmarkEnd w:id="25"/>
    </w:p>
    <w:tbl>
      <w:tblPr>
        <w:tblStyle w:val="Tabellenraster"/>
        <w:tblW w:w="9354" w:type="dxa"/>
        <w:tblLayout w:type="fixed"/>
        <w:tblLook w:val="04A0" w:firstRow="1" w:lastRow="0" w:firstColumn="1" w:lastColumn="0" w:noHBand="0" w:noVBand="1"/>
      </w:tblPr>
      <w:tblGrid>
        <w:gridCol w:w="907"/>
        <w:gridCol w:w="3770"/>
        <w:gridCol w:w="4677"/>
      </w:tblGrid>
      <w:tr w:rsidR="007E32B6" w:rsidRPr="00FE1ABC" w14:paraId="53184B84" w14:textId="77777777">
        <w:trPr>
          <w:trHeight w:val="719"/>
        </w:trPr>
        <w:tc>
          <w:tcPr>
            <w:tcW w:w="907" w:type="dxa"/>
            <w:shd w:val="clear" w:color="auto" w:fill="8CBBAD"/>
          </w:tcPr>
          <w:p w14:paraId="7F089A84" w14:textId="77777777" w:rsidR="007E32B6" w:rsidRPr="00FE1ABC" w:rsidRDefault="0095488E">
            <w:pPr>
              <w:spacing w:before="60" w:after="60" w:line="276" w:lineRule="auto"/>
              <w:jc w:val="center"/>
              <w:rPr>
                <w:rFonts w:ascii="Aptos" w:hAnsi="Aptos" w:cs="Arial"/>
                <w:b/>
                <w:color w:val="FFFFFF" w:themeColor="background1"/>
              </w:rPr>
            </w:pPr>
            <w:r w:rsidRPr="00FE1ABC">
              <w:rPr>
                <w:rFonts w:ascii="Aptos" w:eastAsia="Calibri" w:hAnsi="Aptos" w:cs="Arial"/>
                <w:b/>
                <w:color w:val="FFFFFF" w:themeColor="background1"/>
              </w:rPr>
              <w:t>3-26-2</w:t>
            </w:r>
          </w:p>
        </w:tc>
        <w:tc>
          <w:tcPr>
            <w:tcW w:w="8447" w:type="dxa"/>
            <w:gridSpan w:val="2"/>
            <w:shd w:val="clear" w:color="auto" w:fill="DCEBE6"/>
          </w:tcPr>
          <w:p w14:paraId="081CC759" w14:textId="77777777" w:rsidR="007E32B6" w:rsidRPr="00FE1ABC" w:rsidRDefault="0095488E">
            <w:pPr>
              <w:spacing w:before="60" w:after="60" w:line="276" w:lineRule="auto"/>
              <w:ind w:left="39"/>
              <w:rPr>
                <w:rFonts w:ascii="Aptos" w:hAnsi="Aptos" w:cs="Arial"/>
                <w:iCs/>
                <w:color w:val="000000" w:themeColor="text1"/>
                <w:highlight w:val="yellow"/>
              </w:rPr>
            </w:pPr>
            <w:r w:rsidRPr="00FE1ABC">
              <w:rPr>
                <w:rFonts w:ascii="Aptos" w:eastAsia="Calibri" w:hAnsi="Aptos" w:cs="Arial"/>
                <w:b/>
                <w:iCs/>
                <w:color w:val="000000" w:themeColor="text1"/>
              </w:rPr>
              <w:t xml:space="preserve">Inwertsetzung von Geodaten </w:t>
            </w:r>
            <w:r w:rsidRPr="001039B6">
              <w:rPr>
                <w:rFonts w:ascii="Aptos" w:eastAsia="Calibri" w:hAnsi="Aptos" w:cs="Arial"/>
                <w:bCs/>
                <w:iCs/>
                <w:color w:val="000000" w:themeColor="text1"/>
              </w:rPr>
              <w:t>mittels</w:t>
            </w:r>
            <w:r w:rsidRPr="00FE1ABC">
              <w:rPr>
                <w:rFonts w:ascii="Aptos" w:eastAsia="Calibri" w:hAnsi="Aptos" w:cs="Arial"/>
                <w:b/>
                <w:iCs/>
                <w:color w:val="000000" w:themeColor="text1"/>
              </w:rPr>
              <w:t xml:space="preserve"> </w:t>
            </w:r>
            <w:proofErr w:type="spellStart"/>
            <w:r w:rsidRPr="00D03425">
              <w:rPr>
                <w:rFonts w:ascii="Aptos" w:eastAsia="Calibri" w:hAnsi="Aptos" w:cs="Arial"/>
                <w:b/>
                <w:iCs/>
                <w:color w:val="000000" w:themeColor="text1"/>
              </w:rPr>
              <w:t>Augmented</w:t>
            </w:r>
            <w:proofErr w:type="spellEnd"/>
            <w:r w:rsidRPr="00D03425">
              <w:rPr>
                <w:rFonts w:ascii="Aptos" w:eastAsia="Calibri" w:hAnsi="Aptos" w:cs="Arial"/>
                <w:b/>
                <w:iCs/>
                <w:color w:val="000000" w:themeColor="text1"/>
              </w:rPr>
              <w:t>-Reality</w:t>
            </w:r>
            <w:r w:rsidRPr="001039B6">
              <w:rPr>
                <w:rFonts w:ascii="Aptos" w:eastAsia="Calibri" w:hAnsi="Aptos" w:cs="Arial"/>
                <w:bCs/>
                <w:iCs/>
                <w:color w:val="000000" w:themeColor="text1"/>
              </w:rPr>
              <w:t>-Technologie</w:t>
            </w:r>
            <w:r w:rsidRPr="00FE1ABC">
              <w:rPr>
                <w:rFonts w:ascii="Aptos" w:eastAsia="Calibri" w:hAnsi="Aptos" w:cs="Arial"/>
                <w:iCs/>
                <w:color w:val="000000" w:themeColor="text1"/>
              </w:rPr>
              <w:t xml:space="preserve"> (AR)</w:t>
            </w:r>
            <w:r w:rsidRPr="00FE1ABC">
              <w:rPr>
                <w:rFonts w:ascii="Aptos" w:eastAsia="Calibri" w:hAnsi="Aptos" w:cs="Arial"/>
                <w:bCs/>
                <w:iCs/>
                <w:color w:val="000000" w:themeColor="text1"/>
              </w:rPr>
              <w:t>.</w:t>
            </w:r>
          </w:p>
        </w:tc>
      </w:tr>
      <w:tr w:rsidR="007E32B6" w:rsidRPr="0035640D" w14:paraId="74C882F0" w14:textId="77777777">
        <w:trPr>
          <w:trHeight w:val="60"/>
        </w:trPr>
        <w:tc>
          <w:tcPr>
            <w:tcW w:w="9354" w:type="dxa"/>
            <w:gridSpan w:val="3"/>
          </w:tcPr>
          <w:p w14:paraId="6615EAE8" w14:textId="09B3A8A5" w:rsidR="007E32B6" w:rsidRPr="0035640D" w:rsidRDefault="0095488E">
            <w:pPr>
              <w:spacing w:before="60" w:after="60" w:line="276" w:lineRule="auto"/>
              <w:ind w:left="39"/>
              <w:rPr>
                <w:rFonts w:ascii="Aptos" w:eastAsia="Calibri" w:hAnsi="Aptos" w:cs="Arial"/>
                <w:bCs/>
                <w:color w:val="000000" w:themeColor="text1"/>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w:t>
            </w:r>
            <w:r w:rsidRPr="0035640D">
              <w:rPr>
                <w:rFonts w:ascii="Aptos" w:eastAsia="Calibri" w:hAnsi="Aptos" w:cs="Arial"/>
                <w:bCs/>
                <w:sz w:val="20"/>
                <w:szCs w:val="20"/>
              </w:rPr>
              <w:t xml:space="preserve"> </w:t>
            </w:r>
            <w:r w:rsidRPr="0035640D">
              <w:rPr>
                <w:rFonts w:ascii="Aptos" w:eastAsia="Calibri" w:hAnsi="Aptos" w:cs="Arial"/>
                <w:bCs/>
                <w:color w:val="000000" w:themeColor="text1"/>
                <w:sz w:val="20"/>
                <w:szCs w:val="20"/>
              </w:rPr>
              <w:t>Um das Potenzial von AR zu nutzen, sollen die Verwaltungen auf allen föderalen Ebenen ihr technologisches und methodisches Wissen zu AR aufbauen und erweitern sowie praktische Anwendungserfahrungen sammeln. Dafür wird ein modularer, flexibler</w:t>
            </w:r>
            <w:r w:rsidR="00D03425">
              <w:rPr>
                <w:rFonts w:ascii="Aptos" w:eastAsia="Calibri" w:hAnsi="Aptos" w:cs="Arial"/>
                <w:bCs/>
                <w:color w:val="000000" w:themeColor="text1"/>
                <w:sz w:val="20"/>
                <w:szCs w:val="20"/>
              </w:rPr>
              <w:t xml:space="preserve"> und quelloffener</w:t>
            </w:r>
            <w:r w:rsidRPr="0035640D">
              <w:rPr>
                <w:rFonts w:ascii="Aptos" w:eastAsia="Calibri" w:hAnsi="Aptos" w:cs="Arial"/>
                <w:bCs/>
                <w:color w:val="000000" w:themeColor="text1"/>
                <w:sz w:val="20"/>
                <w:szCs w:val="20"/>
              </w:rPr>
              <w:t xml:space="preserve"> AR-Werkzeugkasten geprüft, der möglichst nach OG</w:t>
            </w:r>
            <w:r w:rsidR="00D03425">
              <w:rPr>
                <w:rFonts w:ascii="Aptos" w:eastAsia="Calibri" w:hAnsi="Aptos" w:cs="Arial"/>
                <w:bCs/>
                <w:color w:val="000000" w:themeColor="text1"/>
                <w:sz w:val="20"/>
                <w:szCs w:val="20"/>
              </w:rPr>
              <w:t>C-standardkonform</w:t>
            </w:r>
            <w:r w:rsidRPr="0035640D">
              <w:rPr>
                <w:rFonts w:ascii="Aptos" w:eastAsia="Calibri" w:hAnsi="Aptos" w:cs="Arial"/>
                <w:bCs/>
                <w:color w:val="000000" w:themeColor="text1"/>
                <w:sz w:val="20"/>
                <w:szCs w:val="20"/>
              </w:rPr>
              <w:t xml:space="preserve"> nachhaltige Interoperabilität gewährleistet.</w:t>
            </w:r>
          </w:p>
          <w:p w14:paraId="201F8E5B" w14:textId="6BC9932B" w:rsidR="00D03425" w:rsidRDefault="00D03425">
            <w:pPr>
              <w:pStyle w:val="Formularfeld2"/>
              <w:jc w:val="left"/>
              <w:rPr>
                <w:rFonts w:eastAsia="Calibri" w:cs="Arial"/>
                <w:bCs/>
                <w:color w:val="000000" w:themeColor="text1"/>
                <w:sz w:val="20"/>
                <w:szCs w:val="20"/>
              </w:rPr>
            </w:pPr>
            <w:r w:rsidRPr="00D03425">
              <w:rPr>
                <w:rFonts w:eastAsia="Calibri" w:cs="Arial"/>
                <w:bCs/>
                <w:i/>
                <w:iCs/>
                <w:color w:val="808080" w:themeColor="background1" w:themeShade="80"/>
                <w:sz w:val="20"/>
                <w:szCs w:val="20"/>
              </w:rPr>
              <w:t>[</w:t>
            </w:r>
            <w:r w:rsidR="00B22600">
              <w:rPr>
                <w:rFonts w:eastAsia="Calibri" w:cs="Arial"/>
                <w:bCs/>
                <w:i/>
                <w:iCs/>
                <w:color w:val="808080" w:themeColor="background1" w:themeShade="80"/>
                <w:sz w:val="20"/>
                <w:szCs w:val="20"/>
              </w:rPr>
              <w:t>0</w:t>
            </w:r>
            <w:r w:rsidRPr="00D03425">
              <w:rPr>
                <w:rFonts w:eastAsia="Calibri" w:cs="Arial"/>
                <w:bCs/>
                <w:i/>
                <w:iCs/>
                <w:color w:val="808080" w:themeColor="background1" w:themeShade="80"/>
                <w:sz w:val="20"/>
                <w:szCs w:val="20"/>
              </w:rPr>
              <w:t>] Als erste – grundsätzlich noch von SGS unabhängige – Phase in der ersten Jahreshälfte 2026 wird durch kantonales Crowd-Funding</w:t>
            </w:r>
            <w:r w:rsidR="001039B6">
              <w:rPr>
                <w:rFonts w:eastAsia="Calibri" w:cs="Arial"/>
                <w:bCs/>
                <w:i/>
                <w:iCs/>
                <w:color w:val="808080" w:themeColor="background1" w:themeShade="80"/>
                <w:sz w:val="20"/>
                <w:szCs w:val="20"/>
              </w:rPr>
              <w:t xml:space="preserve"> (50,000.— SFr.)</w:t>
            </w:r>
            <w:r w:rsidRPr="00D03425">
              <w:rPr>
                <w:rFonts w:eastAsia="Calibri" w:cs="Arial"/>
                <w:bCs/>
                <w:i/>
                <w:iCs/>
                <w:color w:val="808080" w:themeColor="background1" w:themeShade="80"/>
                <w:sz w:val="20"/>
                <w:szCs w:val="20"/>
              </w:rPr>
              <w:t xml:space="preserve"> finanziert ein Proof </w:t>
            </w:r>
            <w:proofErr w:type="spellStart"/>
            <w:r w:rsidRPr="00D03425">
              <w:rPr>
                <w:rFonts w:eastAsia="Calibri" w:cs="Arial"/>
                <w:bCs/>
                <w:i/>
                <w:iCs/>
                <w:color w:val="808080" w:themeColor="background1" w:themeShade="80"/>
                <w:sz w:val="20"/>
                <w:szCs w:val="20"/>
              </w:rPr>
              <w:t>of</w:t>
            </w:r>
            <w:proofErr w:type="spellEnd"/>
            <w:r w:rsidRPr="00D03425">
              <w:rPr>
                <w:rFonts w:eastAsia="Calibri" w:cs="Arial"/>
                <w:bCs/>
                <w:i/>
                <w:iCs/>
                <w:color w:val="808080" w:themeColor="background1" w:themeShade="80"/>
                <w:sz w:val="20"/>
                <w:szCs w:val="20"/>
              </w:rPr>
              <w:t xml:space="preserve"> Concept (PoC) entwickelt. Dieser PoC soll die Machbarkeit bestehender Anforderungen aufzeigen. Dieser erste Schritt ermöglicht es den Kantonen, ihre Vorgehensweise zu erproben und dabei die Handlungsempfehlungen zu konkretisieren.</w:t>
            </w:r>
            <w:r w:rsidR="00B22600" w:rsidRPr="00B22600">
              <w:rPr>
                <w:rFonts w:asciiTheme="minorHAnsi" w:eastAsia="Calibri" w:hAnsiTheme="minorHAnsi" w:cs="Arial"/>
                <w:bCs/>
                <w:color w:val="000000" w:themeColor="text1"/>
                <w:sz w:val="20"/>
                <w:szCs w:val="20"/>
              </w:rPr>
              <w:t xml:space="preserve"> </w:t>
            </w:r>
            <w:r w:rsidR="00B22600" w:rsidRPr="00B22600">
              <w:rPr>
                <w:rFonts w:eastAsia="Calibri" w:cs="Arial"/>
                <w:bCs/>
                <w:i/>
                <w:iCs/>
                <w:color w:val="808080" w:themeColor="background1" w:themeShade="80"/>
                <w:sz w:val="20"/>
                <w:szCs w:val="20"/>
              </w:rPr>
              <w:t>Der darauf aufbauende Prototyp soll einen Einblick in Funktionen, Design und Nutzererfahrung geben.</w:t>
            </w:r>
            <w:r w:rsidRPr="0035640D">
              <w:rPr>
                <w:rFonts w:eastAsia="Calibri" w:cs="Arial"/>
                <w:bCs/>
                <w:color w:val="000000" w:themeColor="text1"/>
                <w:sz w:val="20"/>
                <w:szCs w:val="20"/>
              </w:rPr>
              <w:br/>
            </w:r>
            <w:r>
              <w:rPr>
                <w:rFonts w:eastAsia="Calibri" w:cs="Arial"/>
                <w:bCs/>
                <w:color w:val="000000" w:themeColor="text1"/>
                <w:sz w:val="20"/>
                <w:szCs w:val="20"/>
              </w:rPr>
              <w:t>[</w:t>
            </w:r>
            <w:r w:rsidR="00B22600">
              <w:rPr>
                <w:rFonts w:eastAsia="Calibri" w:cs="Arial"/>
                <w:bCs/>
                <w:color w:val="000000" w:themeColor="text1"/>
                <w:sz w:val="20"/>
                <w:szCs w:val="20"/>
              </w:rPr>
              <w:t>1</w:t>
            </w:r>
            <w:r>
              <w:rPr>
                <w:rFonts w:eastAsia="Calibri" w:cs="Arial"/>
                <w:bCs/>
                <w:color w:val="000000" w:themeColor="text1"/>
                <w:sz w:val="20"/>
                <w:szCs w:val="20"/>
              </w:rPr>
              <w:t xml:space="preserve">] Im Rahmen SGS konzentriert sich diese Aktion </w:t>
            </w:r>
            <w:r w:rsidR="001039B6">
              <w:rPr>
                <w:rFonts w:eastAsia="Calibri" w:cs="Arial"/>
                <w:bCs/>
                <w:color w:val="000000" w:themeColor="text1"/>
                <w:sz w:val="20"/>
                <w:szCs w:val="20"/>
              </w:rPr>
              <w:t xml:space="preserve">parallel dazu </w:t>
            </w:r>
            <w:r>
              <w:rPr>
                <w:rFonts w:eastAsia="Calibri" w:cs="Arial"/>
                <w:bCs/>
                <w:color w:val="000000" w:themeColor="text1"/>
                <w:sz w:val="20"/>
                <w:szCs w:val="20"/>
              </w:rPr>
              <w:t xml:space="preserve">auf die umfassende Klärung des Bedarfs im Bereich AR sowohl auf Bundes- wie auch auf Kantons- und, soweit möglich, auf Städte-/Gemeindestufe. Die Beteiligung der Bundesstellen </w:t>
            </w:r>
            <w:r w:rsidR="00B22600">
              <w:rPr>
                <w:rFonts w:eastAsia="Calibri" w:cs="Arial"/>
                <w:bCs/>
                <w:color w:val="000000" w:themeColor="text1"/>
                <w:sz w:val="20"/>
                <w:szCs w:val="20"/>
              </w:rPr>
              <w:t xml:space="preserve">und deren Zuständigkeiten im Bereich AR  (und Virtual Reality, VR) </w:t>
            </w:r>
            <w:r w:rsidR="00B22600">
              <w:rPr>
                <w:rFonts w:eastAsia="Calibri" w:cs="Arial"/>
                <w:bCs/>
                <w:color w:val="000000" w:themeColor="text1"/>
                <w:sz w:val="20"/>
                <w:szCs w:val="20"/>
              </w:rPr>
              <w:lastRenderedPageBreak/>
              <w:t>ist zu klären. Aus der Bedarfsklärung werden konkrete Handlungsempfehlungen für die Verwaltung hergeleitet.</w:t>
            </w:r>
          </w:p>
          <w:p w14:paraId="798EC27F" w14:textId="2CD05B5E" w:rsidR="007E32B6" w:rsidRPr="00B22600" w:rsidRDefault="00B22600" w:rsidP="00B22600">
            <w:pPr>
              <w:pStyle w:val="Formularfeld2"/>
              <w:jc w:val="left"/>
              <w:rPr>
                <w:rFonts w:eastAsia="Calibri" w:cs="Arial"/>
                <w:bCs/>
                <w:color w:val="000000" w:themeColor="text1"/>
                <w:sz w:val="20"/>
                <w:szCs w:val="20"/>
              </w:rPr>
            </w:pPr>
            <w:r>
              <w:rPr>
                <w:rFonts w:eastAsia="Calibri" w:cs="Arial"/>
                <w:bCs/>
                <w:color w:val="000000" w:themeColor="text1"/>
                <w:sz w:val="20"/>
                <w:szCs w:val="20"/>
              </w:rPr>
              <w:t xml:space="preserve">[2] </w:t>
            </w:r>
            <w:r w:rsidR="0095488E" w:rsidRPr="0035640D">
              <w:rPr>
                <w:rFonts w:eastAsia="Calibri" w:cs="Arial"/>
                <w:bCs/>
                <w:color w:val="000000" w:themeColor="text1"/>
                <w:sz w:val="20"/>
                <w:szCs w:val="20"/>
              </w:rPr>
              <w:t>Falls</w:t>
            </w:r>
            <w:r>
              <w:rPr>
                <w:rFonts w:eastAsia="Calibri" w:cs="Arial"/>
                <w:bCs/>
                <w:color w:val="000000" w:themeColor="text1"/>
                <w:sz w:val="20"/>
                <w:szCs w:val="20"/>
              </w:rPr>
              <w:t xml:space="preserve"> ein genügender</w:t>
            </w:r>
            <w:r w:rsidR="0095488E" w:rsidRPr="0035640D">
              <w:rPr>
                <w:rFonts w:eastAsia="Calibri" w:cs="Arial"/>
                <w:bCs/>
                <w:color w:val="000000" w:themeColor="text1"/>
                <w:sz w:val="20"/>
                <w:szCs w:val="20"/>
              </w:rPr>
              <w:t xml:space="preserve"> Bedarf an einer modularen und Open-Source</w:t>
            </w:r>
            <w:r>
              <w:rPr>
                <w:rFonts w:eastAsia="Calibri" w:cs="Arial"/>
                <w:bCs/>
                <w:color w:val="000000" w:themeColor="text1"/>
                <w:sz w:val="20"/>
                <w:szCs w:val="20"/>
              </w:rPr>
              <w:t>-</w:t>
            </w:r>
            <w:r w:rsidR="0095488E" w:rsidRPr="0035640D">
              <w:rPr>
                <w:rFonts w:eastAsia="Calibri" w:cs="Arial"/>
                <w:bCs/>
                <w:color w:val="000000" w:themeColor="text1"/>
                <w:sz w:val="20"/>
                <w:szCs w:val="20"/>
              </w:rPr>
              <w:t xml:space="preserve">AR-Lösung auf Verwaltungsebene nachgewiesen werden kann, </w:t>
            </w:r>
            <w:r>
              <w:rPr>
                <w:rFonts w:eastAsia="Calibri" w:cs="Arial"/>
                <w:bCs/>
                <w:color w:val="000000" w:themeColor="text1"/>
                <w:sz w:val="20"/>
                <w:szCs w:val="20"/>
              </w:rPr>
              <w:t xml:space="preserve">können in einer zweiten Phase die Grundlagen/Spezifikationen inklusive Betriebskonzept für die gezielte Weiterentwicklung des Prototypen zu einem Minimum Viable </w:t>
            </w:r>
            <w:proofErr w:type="spellStart"/>
            <w:r>
              <w:rPr>
                <w:rFonts w:eastAsia="Calibri" w:cs="Arial"/>
                <w:bCs/>
                <w:color w:val="000000" w:themeColor="text1"/>
                <w:sz w:val="20"/>
                <w:szCs w:val="20"/>
              </w:rPr>
              <w:t>Product</w:t>
            </w:r>
            <w:proofErr w:type="spellEnd"/>
            <w:r>
              <w:rPr>
                <w:rFonts w:eastAsia="Calibri" w:cs="Arial"/>
                <w:bCs/>
                <w:color w:val="000000" w:themeColor="text1"/>
                <w:sz w:val="20"/>
                <w:szCs w:val="20"/>
              </w:rPr>
              <w:t xml:space="preserve"> (MVP) im Folgejahr 2027 erarbeitet werden.</w:t>
            </w:r>
          </w:p>
        </w:tc>
      </w:tr>
      <w:tr w:rsidR="007E32B6" w:rsidRPr="0035640D" w14:paraId="739C4D40" w14:textId="77777777">
        <w:trPr>
          <w:trHeight w:val="60"/>
        </w:trPr>
        <w:tc>
          <w:tcPr>
            <w:tcW w:w="9354" w:type="dxa"/>
            <w:gridSpan w:val="3"/>
          </w:tcPr>
          <w:p w14:paraId="4B541451" w14:textId="504DE13E" w:rsidR="007E32B6" w:rsidRPr="0035640D" w:rsidRDefault="0095488E">
            <w:pPr>
              <w:spacing w:before="60" w:after="60" w:line="276" w:lineRule="auto"/>
              <w:ind w:left="39"/>
              <w:rPr>
                <w:rFonts w:ascii="Aptos" w:hAnsi="Aptos" w:cs="Arial"/>
                <w:b/>
                <w:bCs/>
                <w:color w:val="000000" w:themeColor="text1"/>
                <w:sz w:val="20"/>
                <w:szCs w:val="20"/>
              </w:rPr>
            </w:pPr>
            <w:r w:rsidRPr="0035640D">
              <w:rPr>
                <w:rFonts w:ascii="Aptos" w:eastAsia="Calibri" w:hAnsi="Aptos" w:cs="Arial"/>
                <w:b/>
                <w:bCs/>
                <w:color w:val="000000" w:themeColor="text1"/>
                <w:sz w:val="20"/>
                <w:szCs w:val="20"/>
              </w:rPr>
              <w:lastRenderedPageBreak/>
              <w:t>Abgrenzung</w:t>
            </w:r>
            <w:r w:rsidRPr="0035640D">
              <w:rPr>
                <w:rFonts w:ascii="Aptos" w:eastAsia="Calibri" w:hAnsi="Aptos" w:cs="Arial"/>
                <w:bCs/>
                <w:color w:val="000000" w:themeColor="text1"/>
                <w:sz w:val="20"/>
                <w:szCs w:val="20"/>
              </w:rPr>
              <w:t>: Koordination mit dem Bereich Topografie der swisstopo erforderlich. Laufzeit bis Ende 2027</w:t>
            </w:r>
            <w:r w:rsidR="00B22600">
              <w:rPr>
                <w:rFonts w:ascii="Aptos" w:eastAsia="Calibri" w:hAnsi="Aptos" w:cs="Arial"/>
                <w:bCs/>
                <w:color w:val="000000" w:themeColor="text1"/>
                <w:sz w:val="20"/>
                <w:szCs w:val="20"/>
              </w:rPr>
              <w:t>.</w:t>
            </w:r>
          </w:p>
        </w:tc>
      </w:tr>
      <w:tr w:rsidR="007E32B6" w:rsidRPr="0035640D" w14:paraId="35FB821D" w14:textId="77777777">
        <w:trPr>
          <w:trHeight w:val="392"/>
        </w:trPr>
        <w:tc>
          <w:tcPr>
            <w:tcW w:w="9354" w:type="dxa"/>
            <w:gridSpan w:val="3"/>
          </w:tcPr>
          <w:p w14:paraId="69712DEB" w14:textId="47268336" w:rsidR="007E32B6" w:rsidRPr="0035640D" w:rsidRDefault="0095488E" w:rsidP="0035640D">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sz w:val="20"/>
                <w:szCs w:val="20"/>
              </w:rPr>
              <w:t>Handlungsempfehlungen und Entscheid Bedarfsklärung</w:t>
            </w:r>
            <w:r w:rsidR="0035640D">
              <w:rPr>
                <w:rFonts w:ascii="Aptos" w:eastAsia="Calibri" w:hAnsi="Aptos" w:cs="Arial"/>
                <w:sz w:val="20"/>
                <w:szCs w:val="20"/>
              </w:rPr>
              <w:t>.</w:t>
            </w:r>
            <w:r w:rsidRPr="0035640D">
              <w:rPr>
                <w:rFonts w:ascii="Aptos" w:eastAsia="Calibri" w:hAnsi="Aptos" w:cs="Arial"/>
                <w:color w:val="000000" w:themeColor="text1"/>
                <w:sz w:val="20"/>
                <w:szCs w:val="20"/>
              </w:rPr>
              <w:t xml:space="preserve"> </w:t>
            </w:r>
          </w:p>
        </w:tc>
      </w:tr>
      <w:tr w:rsidR="007E32B6" w:rsidRPr="0035640D" w14:paraId="7DAA6F55" w14:textId="77777777">
        <w:trPr>
          <w:trHeight w:val="392"/>
        </w:trPr>
        <w:tc>
          <w:tcPr>
            <w:tcW w:w="9354" w:type="dxa"/>
            <w:gridSpan w:val="3"/>
          </w:tcPr>
          <w:p w14:paraId="0BACC266" w14:textId="2B84786C" w:rsidR="007E32B6" w:rsidRPr="0035640D" w:rsidRDefault="0095488E" w:rsidP="0035640D">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Bedarfsklärung und Handlungsempfehlungen</w:t>
            </w:r>
            <w:r w:rsidR="0035640D" w:rsidRPr="0035640D">
              <w:rPr>
                <w:rFonts w:ascii="Aptos" w:eastAsia="Calibri" w:hAnsi="Aptos" w:cs="Arial"/>
                <w:color w:val="000000" w:themeColor="text1"/>
                <w:sz w:val="20"/>
                <w:szCs w:val="20"/>
              </w:rPr>
              <w:t>.</w:t>
            </w:r>
          </w:p>
        </w:tc>
      </w:tr>
      <w:tr w:rsidR="007E32B6" w:rsidRPr="0035640D" w14:paraId="036BDC17" w14:textId="77777777" w:rsidTr="0035640D">
        <w:trPr>
          <w:trHeight w:val="392"/>
        </w:trPr>
        <w:tc>
          <w:tcPr>
            <w:tcW w:w="4677" w:type="dxa"/>
            <w:gridSpan w:val="2"/>
          </w:tcPr>
          <w:p w14:paraId="0E7E1D7F" w14:textId="5DC86CB3"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BF1A26">
              <w:rPr>
                <w:rFonts w:ascii="Aptos" w:eastAsia="Calibri" w:hAnsi="Aptos" w:cs="Arial"/>
                <w:sz w:val="20"/>
                <w:szCs w:val="20"/>
              </w:rPr>
              <w:t xml:space="preserve">: </w:t>
            </w:r>
            <w:proofErr w:type="spellStart"/>
            <w:r w:rsidRPr="00BF1A26">
              <w:rPr>
                <w:rFonts w:ascii="Aptos" w:eastAsia="Calibri" w:hAnsi="Aptos" w:cs="Arial"/>
                <w:sz w:val="20"/>
                <w:szCs w:val="20"/>
                <w:highlight w:val="yellow"/>
              </w:rPr>
              <w:t>tbd</w:t>
            </w:r>
            <w:proofErr w:type="spellEnd"/>
            <w:r w:rsidRPr="00BF1A26">
              <w:rPr>
                <w:rFonts w:ascii="Aptos" w:eastAsia="Calibri" w:hAnsi="Aptos" w:cs="Arial"/>
                <w:sz w:val="20"/>
                <w:szCs w:val="20"/>
              </w:rPr>
              <w:t>.</w:t>
            </w:r>
          </w:p>
        </w:tc>
        <w:tc>
          <w:tcPr>
            <w:tcW w:w="4677" w:type="dxa"/>
            <w:shd w:val="clear" w:color="auto" w:fill="DCEBE6"/>
          </w:tcPr>
          <w:p w14:paraId="4C9B7888" w14:textId="2F1FC69E" w:rsidR="007E32B6" w:rsidRPr="0035640D" w:rsidRDefault="0095488E" w:rsidP="0035640D">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xml:space="preserve">: </w:t>
            </w:r>
            <w:r w:rsidR="00F32032">
              <w:rPr>
                <w:rFonts w:ascii="Aptos" w:eastAsia="Calibri" w:hAnsi="Aptos" w:cs="Arial"/>
                <w:color w:val="000000" w:themeColor="text1"/>
                <w:sz w:val="20"/>
                <w:szCs w:val="20"/>
              </w:rPr>
              <w:t>0.—SFr. (Eigenleistung</w:t>
            </w:r>
            <w:r w:rsidR="001039B6">
              <w:rPr>
                <w:rFonts w:ascii="Aptos" w:eastAsia="Calibri" w:hAnsi="Aptos" w:cs="Arial"/>
                <w:color w:val="000000" w:themeColor="text1"/>
                <w:sz w:val="20"/>
                <w:szCs w:val="20"/>
              </w:rPr>
              <w:t>)</w:t>
            </w:r>
          </w:p>
        </w:tc>
      </w:tr>
    </w:tbl>
    <w:p w14:paraId="03C3396F" w14:textId="77777777" w:rsidR="001039B6" w:rsidRPr="0035640D" w:rsidRDefault="001039B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4ADD63AC" w14:textId="77777777">
        <w:trPr>
          <w:trHeight w:val="719"/>
        </w:trPr>
        <w:tc>
          <w:tcPr>
            <w:tcW w:w="907" w:type="dxa"/>
            <w:shd w:val="clear" w:color="auto" w:fill="8CBBAD"/>
          </w:tcPr>
          <w:p w14:paraId="4BE8BB70" w14:textId="77777777" w:rsidR="007E32B6" w:rsidRPr="00F32032" w:rsidRDefault="0095488E">
            <w:pPr>
              <w:spacing w:before="60" w:after="60" w:line="276" w:lineRule="auto"/>
              <w:jc w:val="center"/>
              <w:rPr>
                <w:rFonts w:ascii="Aptos" w:hAnsi="Aptos" w:cs="Arial"/>
                <w:b/>
                <w:color w:val="FFFFFF" w:themeColor="background1"/>
              </w:rPr>
            </w:pPr>
            <w:r w:rsidRPr="00F32032">
              <w:rPr>
                <w:rFonts w:ascii="Aptos" w:eastAsia="Calibri" w:hAnsi="Aptos" w:cs="Arial"/>
                <w:b/>
                <w:color w:val="FFFFFF" w:themeColor="background1"/>
              </w:rPr>
              <w:t>3-26-3</w:t>
            </w:r>
          </w:p>
        </w:tc>
        <w:tc>
          <w:tcPr>
            <w:tcW w:w="8447" w:type="dxa"/>
            <w:gridSpan w:val="2"/>
            <w:shd w:val="clear" w:color="auto" w:fill="DCEBE6"/>
          </w:tcPr>
          <w:p w14:paraId="3A6B8BC2" w14:textId="2528BB9E" w:rsidR="007E32B6" w:rsidRPr="0035640D" w:rsidRDefault="0095488E">
            <w:pPr>
              <w:spacing w:before="60" w:after="60" w:line="276" w:lineRule="auto"/>
              <w:ind w:left="39"/>
              <w:rPr>
                <w:rFonts w:ascii="Aptos" w:hAnsi="Aptos" w:cs="Arial"/>
                <w:iCs/>
                <w:color w:val="000000" w:themeColor="text1"/>
              </w:rPr>
            </w:pPr>
            <w:r w:rsidRPr="00F32032">
              <w:rPr>
                <w:rFonts w:ascii="Aptos" w:eastAsia="Calibri" w:hAnsi="Aptos" w:cs="Arial"/>
                <w:bCs/>
                <w:iCs/>
                <w:color w:val="000000" w:themeColor="text1"/>
              </w:rPr>
              <w:t xml:space="preserve">Bereitstellung von </w:t>
            </w:r>
            <w:r w:rsidRPr="00F32032">
              <w:rPr>
                <w:rFonts w:ascii="Aptos" w:eastAsia="Calibri" w:hAnsi="Aptos" w:cs="Arial"/>
                <w:b/>
                <w:iCs/>
                <w:color w:val="000000" w:themeColor="text1"/>
              </w:rPr>
              <w:t xml:space="preserve">Geoinformations-Dokumentation </w:t>
            </w:r>
            <w:r w:rsidR="001039B6">
              <w:rPr>
                <w:rFonts w:ascii="Aptos" w:eastAsia="Calibri" w:hAnsi="Aptos" w:cs="Arial"/>
                <w:iCs/>
                <w:color w:val="000000" w:themeColor="text1"/>
              </w:rPr>
              <w:t>für eine</w:t>
            </w:r>
            <w:r w:rsidRPr="00F32032">
              <w:rPr>
                <w:rFonts w:ascii="Aptos" w:eastAsia="Calibri" w:hAnsi="Aptos" w:cs="Arial"/>
                <w:b/>
                <w:iCs/>
                <w:color w:val="000000" w:themeColor="text1"/>
              </w:rPr>
              <w:t xml:space="preserve"> Wissens</w:t>
            </w:r>
            <w:r w:rsidR="00F32032" w:rsidRPr="00F32032">
              <w:rPr>
                <w:rFonts w:ascii="Aptos" w:eastAsia="Calibri" w:hAnsi="Aptos" w:cs="Arial"/>
                <w:b/>
                <w:iCs/>
                <w:color w:val="000000" w:themeColor="text1"/>
              </w:rPr>
              <w:t>-I</w:t>
            </w:r>
            <w:r w:rsidRPr="00F32032">
              <w:rPr>
                <w:rFonts w:ascii="Aptos" w:eastAsia="Calibri" w:hAnsi="Aptos" w:cs="Arial"/>
                <w:b/>
                <w:iCs/>
                <w:color w:val="000000" w:themeColor="text1"/>
              </w:rPr>
              <w:t>nfrastruktur</w:t>
            </w:r>
          </w:p>
        </w:tc>
      </w:tr>
      <w:tr w:rsidR="007E32B6" w:rsidRPr="0035640D" w14:paraId="4C496BA0" w14:textId="77777777">
        <w:trPr>
          <w:trHeight w:val="60"/>
        </w:trPr>
        <w:tc>
          <w:tcPr>
            <w:tcW w:w="9354" w:type="dxa"/>
            <w:gridSpan w:val="3"/>
          </w:tcPr>
          <w:p w14:paraId="2A45A14A" w14:textId="1049E4E8" w:rsidR="007E32B6" w:rsidRPr="0035640D" w:rsidRDefault="0095488E">
            <w:pPr>
              <w:spacing w:before="60" w:after="60" w:line="276" w:lineRule="auto"/>
              <w:rPr>
                <w:rFonts w:ascii="Aptos" w:hAnsi="Aptos" w:cs="Arial"/>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Zum Geowissen gehören nicht nur Geodaten und Metadaten, sondern auch alle Berichte, Modelldokumentationen usw. Diese werden aktuell als PDF auf geoinformation.ch oder über andere Quellen zur Verfügung gestellt. Jedoch sind PDF für Maschinen und automatisierte Prozesse oft nicht </w:t>
            </w:r>
            <w:r w:rsidR="001039B6">
              <w:rPr>
                <w:rFonts w:ascii="Aptos" w:eastAsia="Calibri" w:hAnsi="Aptos" w:cs="Arial"/>
                <w:bCs/>
                <w:color w:val="000000" w:themeColor="text1"/>
                <w:sz w:val="20"/>
                <w:szCs w:val="20"/>
              </w:rPr>
              <w:t>1:1</w:t>
            </w:r>
            <w:r w:rsidRPr="0035640D">
              <w:rPr>
                <w:rFonts w:ascii="Aptos" w:eastAsia="Calibri" w:hAnsi="Aptos" w:cs="Arial"/>
                <w:bCs/>
                <w:color w:val="000000" w:themeColor="text1"/>
                <w:sz w:val="20"/>
                <w:szCs w:val="20"/>
              </w:rPr>
              <w:t xml:space="preserve"> verwendbar. Es braucht neue Formen</w:t>
            </w:r>
            <w:r w:rsidR="001039B6">
              <w:rPr>
                <w:rFonts w:ascii="Aptos" w:eastAsia="Calibri" w:hAnsi="Aptos" w:cs="Arial"/>
                <w:bCs/>
                <w:color w:val="000000" w:themeColor="text1"/>
                <w:sz w:val="20"/>
                <w:szCs w:val="20"/>
              </w:rPr>
              <w:t>,</w:t>
            </w:r>
            <w:r w:rsidRPr="0035640D">
              <w:rPr>
                <w:rFonts w:ascii="Aptos" w:eastAsia="Calibri" w:hAnsi="Aptos" w:cs="Arial"/>
                <w:bCs/>
                <w:color w:val="000000" w:themeColor="text1"/>
                <w:sz w:val="20"/>
                <w:szCs w:val="20"/>
              </w:rPr>
              <w:t xml:space="preserve"> diese maschinenlesbar für z.B. LLM zur Verfügung stellen zu können. Dies soll anhand konkreter Anwendungsfällen geprüft werden.</w:t>
            </w:r>
          </w:p>
        </w:tc>
      </w:tr>
      <w:tr w:rsidR="007E32B6" w:rsidRPr="0035640D" w14:paraId="5BD0B330" w14:textId="77777777">
        <w:trPr>
          <w:trHeight w:val="64"/>
        </w:trPr>
        <w:tc>
          <w:tcPr>
            <w:tcW w:w="9354" w:type="dxa"/>
            <w:gridSpan w:val="3"/>
          </w:tcPr>
          <w:p w14:paraId="37B2A780" w14:textId="70E6A87E"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w:t>
            </w:r>
            <w:r w:rsidR="00F32032">
              <w:rPr>
                <w:rFonts w:ascii="Aptos" w:eastAsia="Calibri" w:hAnsi="Aptos" w:cs="Arial"/>
                <w:bCs/>
                <w:color w:val="000000" w:themeColor="text1"/>
                <w:sz w:val="20"/>
                <w:szCs w:val="20"/>
              </w:rPr>
              <w:t xml:space="preserve"> Abstimmung mit der Systementwicklung SWISSGEO.</w:t>
            </w:r>
          </w:p>
        </w:tc>
      </w:tr>
      <w:tr w:rsidR="007E32B6" w:rsidRPr="0035640D" w14:paraId="2574C367" w14:textId="77777777">
        <w:trPr>
          <w:trHeight w:val="392"/>
        </w:trPr>
        <w:tc>
          <w:tcPr>
            <w:tcW w:w="9354" w:type="dxa"/>
            <w:gridSpan w:val="3"/>
          </w:tcPr>
          <w:p w14:paraId="70772289" w14:textId="220C73EC"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001039B6">
              <w:rPr>
                <w:rFonts w:ascii="Aptos" w:eastAsia="Calibri" w:hAnsi="Aptos" w:cs="Arial"/>
                <w:color w:val="000000" w:themeColor="text1"/>
                <w:sz w:val="20"/>
                <w:szCs w:val="20"/>
              </w:rPr>
              <w:t>K</w:t>
            </w:r>
            <w:r w:rsidRPr="0035640D">
              <w:rPr>
                <w:rFonts w:ascii="Aptos" w:eastAsia="Calibri" w:hAnsi="Aptos" w:cs="Arial"/>
                <w:color w:val="000000" w:themeColor="text1"/>
                <w:sz w:val="20"/>
                <w:szCs w:val="20"/>
              </w:rPr>
              <w:t>onkrete Empfehlungen für die Bereitstellung von Texten/Informationen zu Geoinformationen in einer Wissens</w:t>
            </w:r>
            <w:r w:rsidR="001039B6">
              <w:rPr>
                <w:rFonts w:ascii="Aptos" w:eastAsia="Calibri" w:hAnsi="Aptos" w:cs="Arial"/>
                <w:color w:val="000000" w:themeColor="text1"/>
                <w:sz w:val="20"/>
                <w:szCs w:val="20"/>
              </w:rPr>
              <w:t>-I</w:t>
            </w:r>
            <w:r w:rsidRPr="0035640D">
              <w:rPr>
                <w:rFonts w:ascii="Aptos" w:eastAsia="Calibri" w:hAnsi="Aptos" w:cs="Arial"/>
                <w:color w:val="000000" w:themeColor="text1"/>
                <w:sz w:val="20"/>
                <w:szCs w:val="20"/>
              </w:rPr>
              <w:t xml:space="preserve">nfrastruktur (z.B. als HTML oder </w:t>
            </w:r>
            <w:proofErr w:type="spellStart"/>
            <w:r w:rsidRPr="0035640D">
              <w:rPr>
                <w:rFonts w:ascii="Aptos" w:eastAsia="Calibri" w:hAnsi="Aptos" w:cs="Arial"/>
                <w:color w:val="000000" w:themeColor="text1"/>
                <w:sz w:val="20"/>
                <w:szCs w:val="20"/>
              </w:rPr>
              <w:t>Markdown</w:t>
            </w:r>
            <w:proofErr w:type="spellEnd"/>
            <w:r w:rsidRPr="0035640D">
              <w:rPr>
                <w:rFonts w:ascii="Aptos" w:eastAsia="Calibri" w:hAnsi="Aptos" w:cs="Arial"/>
                <w:color w:val="000000" w:themeColor="text1"/>
                <w:sz w:val="20"/>
                <w:szCs w:val="20"/>
              </w:rPr>
              <w:t>).</w:t>
            </w:r>
          </w:p>
        </w:tc>
      </w:tr>
      <w:tr w:rsidR="007E32B6" w:rsidRPr="0035640D" w14:paraId="3EFFEADC" w14:textId="77777777">
        <w:trPr>
          <w:trHeight w:val="392"/>
        </w:trPr>
        <w:tc>
          <w:tcPr>
            <w:tcW w:w="9354" w:type="dxa"/>
            <w:gridSpan w:val="3"/>
          </w:tcPr>
          <w:p w14:paraId="0B7913F9" w14:textId="5BD4B23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der Empfehlungen durch das SGS</w:t>
            </w:r>
            <w:r w:rsidR="001039B6">
              <w:rPr>
                <w:rFonts w:ascii="Aptos" w:eastAsia="Calibri" w:hAnsi="Aptos" w:cs="Arial"/>
                <w:color w:val="000000" w:themeColor="text1"/>
                <w:sz w:val="20"/>
                <w:szCs w:val="20"/>
              </w:rPr>
              <w:t>-</w:t>
            </w:r>
            <w:r w:rsidRPr="0035640D">
              <w:rPr>
                <w:rFonts w:ascii="Aptos" w:eastAsia="Calibri" w:hAnsi="Aptos" w:cs="Arial"/>
                <w:color w:val="000000" w:themeColor="text1"/>
                <w:sz w:val="20"/>
                <w:szCs w:val="20"/>
              </w:rPr>
              <w:t>Management.</w:t>
            </w:r>
          </w:p>
        </w:tc>
      </w:tr>
      <w:tr w:rsidR="007E32B6" w:rsidRPr="0035640D" w14:paraId="54683A10" w14:textId="77777777" w:rsidTr="0035640D">
        <w:trPr>
          <w:trHeight w:val="392"/>
        </w:trPr>
        <w:tc>
          <w:tcPr>
            <w:tcW w:w="4677" w:type="dxa"/>
            <w:gridSpan w:val="2"/>
          </w:tcPr>
          <w:p w14:paraId="7AE1C49F"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1039B6">
              <w:rPr>
                <w:rFonts w:ascii="Aptos" w:eastAsia="Calibri" w:hAnsi="Aptos" w:cs="Arial"/>
                <w:sz w:val="20"/>
                <w:szCs w:val="20"/>
              </w:rPr>
              <w:t xml:space="preserve">: </w:t>
            </w:r>
            <w:proofErr w:type="spellStart"/>
            <w:r w:rsidRPr="001039B6">
              <w:rPr>
                <w:rFonts w:ascii="Aptos" w:eastAsia="Calibri" w:hAnsi="Aptos" w:cs="Arial"/>
                <w:sz w:val="20"/>
                <w:szCs w:val="20"/>
                <w:highlight w:val="yellow"/>
              </w:rPr>
              <w:t>tbd</w:t>
            </w:r>
            <w:proofErr w:type="spellEnd"/>
            <w:r w:rsidRPr="001039B6">
              <w:rPr>
                <w:rFonts w:ascii="Aptos" w:eastAsia="Calibri" w:hAnsi="Aptos" w:cs="Arial"/>
                <w:sz w:val="20"/>
                <w:szCs w:val="20"/>
              </w:rPr>
              <w:t>.</w:t>
            </w:r>
          </w:p>
        </w:tc>
        <w:tc>
          <w:tcPr>
            <w:tcW w:w="4677" w:type="dxa"/>
            <w:shd w:val="clear" w:color="auto" w:fill="DCEBE6"/>
          </w:tcPr>
          <w:p w14:paraId="42410BA3"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xml:space="preserve"> 30,000.— SFr.</w:t>
            </w:r>
          </w:p>
        </w:tc>
      </w:tr>
    </w:tbl>
    <w:p w14:paraId="1949DABD" w14:textId="77777777" w:rsidR="002568FB" w:rsidRDefault="002568FB">
      <w:pPr>
        <w:suppressAutoHyphens/>
        <w:spacing w:after="0" w:line="240" w:lineRule="auto"/>
        <w:rPr>
          <w:rFonts w:ascii="Aptos" w:hAnsi="Aptos" w:cs="Arial"/>
          <w:color w:val="D66A3A"/>
          <w:sz w:val="28"/>
          <w:szCs w:val="28"/>
        </w:rPr>
      </w:pPr>
      <w:bookmarkStart w:id="26" w:name="_Toc211502016"/>
      <w:r>
        <w:rPr>
          <w:rFonts w:ascii="Aptos" w:hAnsi="Aptos"/>
        </w:rPr>
        <w:br w:type="page"/>
      </w:r>
    </w:p>
    <w:p w14:paraId="35DBB55C" w14:textId="229A6CBA" w:rsidR="007E32B6" w:rsidRPr="0035640D" w:rsidRDefault="0095488E">
      <w:pPr>
        <w:pStyle w:val="berschrift3"/>
        <w:rPr>
          <w:rFonts w:ascii="Aptos" w:hAnsi="Aptos"/>
          <w:b/>
        </w:rPr>
      </w:pPr>
      <w:r w:rsidRPr="0035640D">
        <w:rPr>
          <w:rFonts w:ascii="Aptos" w:hAnsi="Aptos"/>
        </w:rPr>
        <w:lastRenderedPageBreak/>
        <w:t xml:space="preserve">Aktionsfeld 4: </w:t>
      </w:r>
      <w:r w:rsidRPr="0035640D">
        <w:rPr>
          <w:rFonts w:ascii="Aptos" w:hAnsi="Aptos"/>
          <w:b/>
        </w:rPr>
        <w:t>Geodata Science entwickeln</w:t>
      </w:r>
      <w:bookmarkEnd w:id="26"/>
    </w:p>
    <w:p w14:paraId="48C9696E" w14:textId="77777777" w:rsidR="007E32B6" w:rsidRPr="0035640D" w:rsidRDefault="0095488E">
      <w:pPr>
        <w:spacing w:line="276" w:lineRule="auto"/>
        <w:rPr>
          <w:rFonts w:ascii="Aptos" w:hAnsi="Aptos" w:cs="Arial"/>
        </w:rPr>
      </w:pPr>
      <w:r w:rsidRPr="0035640D">
        <w:rPr>
          <w:rFonts w:ascii="Aptos" w:hAnsi="Aptos" w:cs="Arial"/>
        </w:rPr>
        <w:t>Im Aktionsfeld 4 sind für 2026 keine Aktionen geplant.</w:t>
      </w:r>
    </w:p>
    <w:p w14:paraId="71DE8716" w14:textId="77777777" w:rsidR="007E32B6" w:rsidRPr="0035640D" w:rsidRDefault="0095488E">
      <w:pPr>
        <w:spacing w:line="276" w:lineRule="auto"/>
        <w:rPr>
          <w:rFonts w:ascii="Aptos" w:hAnsi="Aptos" w:cs="Arial"/>
          <w:b/>
          <w:bCs/>
        </w:rPr>
      </w:pPr>
      <w:r w:rsidRPr="0035640D">
        <w:rPr>
          <w:rFonts w:ascii="Aptos" w:hAnsi="Aptos" w:cs="Arial"/>
          <w:b/>
          <w:bCs/>
        </w:rPr>
        <w:t>BETRIEB</w:t>
      </w:r>
    </w:p>
    <w:p w14:paraId="00F146F0"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rPr>
        <w:t xml:space="preserve">Community </w:t>
      </w:r>
      <w:proofErr w:type="spellStart"/>
      <w:r w:rsidRPr="0035640D">
        <w:rPr>
          <w:rFonts w:ascii="Aptos" w:hAnsi="Aptos" w:cs="Arial"/>
        </w:rPr>
        <w:t>of</w:t>
      </w:r>
      <w:proofErr w:type="spellEnd"/>
      <w:r w:rsidRPr="0035640D">
        <w:rPr>
          <w:rFonts w:ascii="Aptos" w:hAnsi="Aptos" w:cs="Arial"/>
        </w:rPr>
        <w:t xml:space="preserve"> Practice (</w:t>
      </w:r>
      <w:r w:rsidRPr="0035640D">
        <w:rPr>
          <w:rFonts w:ascii="Aptos" w:hAnsi="Aptos" w:cs="Arial"/>
          <w:b/>
          <w:bCs/>
        </w:rPr>
        <w:t>CoP</w:t>
      </w:r>
      <w:r w:rsidRPr="0035640D">
        <w:rPr>
          <w:rFonts w:ascii="Aptos" w:hAnsi="Aptos" w:cs="Arial"/>
        </w:rPr>
        <w:t xml:space="preserve">) </w:t>
      </w:r>
      <w:r w:rsidRPr="0035640D">
        <w:rPr>
          <w:rFonts w:ascii="Aptos" w:hAnsi="Aptos" w:cs="Arial"/>
          <w:b/>
          <w:bCs/>
        </w:rPr>
        <w:t>Geodata Science: Sicherstellung der Weiterführung der CoP und des jährlichen Anlasses</w:t>
      </w:r>
      <w:r w:rsidRPr="0035640D">
        <w:rPr>
          <w:rFonts w:ascii="Aptos" w:hAnsi="Aptos" w:cs="Arial"/>
        </w:rPr>
        <w:t>.</w:t>
      </w:r>
    </w:p>
    <w:p w14:paraId="433B270D" w14:textId="5A4E20E6" w:rsidR="007E32B6" w:rsidRDefault="0095488E">
      <w:pPr>
        <w:pStyle w:val="Listenabsatz"/>
        <w:numPr>
          <w:ilvl w:val="0"/>
          <w:numId w:val="1"/>
        </w:numPr>
        <w:tabs>
          <w:tab w:val="left" w:pos="284"/>
        </w:tabs>
        <w:spacing w:line="276" w:lineRule="auto"/>
        <w:ind w:left="284" w:hanging="284"/>
        <w:contextualSpacing w:val="0"/>
        <w:rPr>
          <w:rFonts w:ascii="Aptos" w:hAnsi="Aptos" w:cs="Arial"/>
          <w:highlight w:val="yellow"/>
        </w:rPr>
      </w:pPr>
      <w:r w:rsidRPr="0035640D">
        <w:rPr>
          <w:rFonts w:ascii="Aptos" w:hAnsi="Aptos" w:cs="Arial"/>
          <w:i/>
          <w:highlight w:val="yellow"/>
        </w:rPr>
        <w:t xml:space="preserve">[ </w:t>
      </w:r>
      <w:r w:rsidR="00153C76">
        <w:rPr>
          <w:rFonts w:ascii="Aptos" w:hAnsi="Aptos" w:cs="Arial"/>
          <w:i/>
          <w:highlight w:val="yellow"/>
        </w:rPr>
        <w:t>gegebenenfalls</w:t>
      </w:r>
      <w:r w:rsidRPr="0035640D">
        <w:rPr>
          <w:rFonts w:ascii="Aptos" w:hAnsi="Aptos" w:cs="Arial"/>
          <w:i/>
          <w:highlight w:val="yellow"/>
        </w:rPr>
        <w:t>: Nachfolgeorganisation für das STDL, Variante 3 «kollektive Innovation» mit kantonalen Ressourcen.</w:t>
      </w:r>
      <w:r w:rsidR="00153C76">
        <w:rPr>
          <w:rFonts w:ascii="Aptos" w:hAnsi="Aptos" w:cs="Arial"/>
          <w:i/>
          <w:highlight w:val="yellow"/>
        </w:rPr>
        <w:t xml:space="preserve"> Eine aktive Verbindung zu SGS ist nach wie vor sehr wichtig.</w:t>
      </w:r>
      <w:r w:rsidRPr="0035640D">
        <w:rPr>
          <w:rFonts w:ascii="Aptos" w:hAnsi="Aptos" w:cs="Arial"/>
          <w:i/>
          <w:highlight w:val="yellow"/>
        </w:rPr>
        <w:t xml:space="preserve"> ]</w:t>
      </w:r>
      <w:r w:rsidRPr="0035640D">
        <w:rPr>
          <w:rFonts w:ascii="Aptos" w:hAnsi="Aptos" w:cs="Arial"/>
          <w:highlight w:val="yellow"/>
        </w:rPr>
        <w:t xml:space="preserve"> </w:t>
      </w:r>
    </w:p>
    <w:p w14:paraId="2E15E2D3" w14:textId="62328A9D" w:rsidR="007E32B6" w:rsidRPr="0035640D" w:rsidRDefault="0095488E">
      <w:pPr>
        <w:pStyle w:val="berschrift3"/>
        <w:rPr>
          <w:rFonts w:ascii="Aptos" w:hAnsi="Aptos"/>
          <w:b/>
        </w:rPr>
      </w:pPr>
      <w:bookmarkStart w:id="27" w:name="_Toc211502017"/>
      <w:r w:rsidRPr="0035640D">
        <w:rPr>
          <w:rFonts w:ascii="Aptos" w:hAnsi="Aptos"/>
        </w:rPr>
        <w:t xml:space="preserve">Aktionsfeld 5: </w:t>
      </w:r>
      <w:r w:rsidRPr="0035640D">
        <w:rPr>
          <w:rFonts w:ascii="Aptos" w:hAnsi="Aptos"/>
          <w:b/>
        </w:rPr>
        <w:t>Innovation fördern</w:t>
      </w:r>
      <w:bookmarkEnd w:id="27"/>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3408BF73" w14:textId="77777777">
        <w:trPr>
          <w:trHeight w:val="719"/>
        </w:trPr>
        <w:tc>
          <w:tcPr>
            <w:tcW w:w="907" w:type="dxa"/>
            <w:shd w:val="clear" w:color="auto" w:fill="8CBBAD"/>
          </w:tcPr>
          <w:p w14:paraId="18AB7A11"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5-26-1</w:t>
            </w:r>
          </w:p>
        </w:tc>
        <w:tc>
          <w:tcPr>
            <w:tcW w:w="8447" w:type="dxa"/>
            <w:gridSpan w:val="2"/>
            <w:shd w:val="clear" w:color="auto" w:fill="DCEBE6"/>
          </w:tcPr>
          <w:p w14:paraId="0576A79C" w14:textId="7466E708"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Cs/>
                <w:iCs/>
                <w:color w:val="000000" w:themeColor="text1"/>
              </w:rPr>
              <w:t xml:space="preserve">Weiterführung und </w:t>
            </w:r>
            <w:r w:rsidRPr="0035640D">
              <w:rPr>
                <w:rFonts w:ascii="Aptos" w:eastAsia="Calibri" w:hAnsi="Aptos" w:cs="Arial"/>
                <w:b/>
                <w:iCs/>
                <w:color w:val="000000" w:themeColor="text1"/>
              </w:rPr>
              <w:t xml:space="preserve">betrieblicher </w:t>
            </w:r>
            <w:r w:rsidRPr="001039B6">
              <w:rPr>
                <w:rFonts w:ascii="Aptos" w:eastAsia="Calibri" w:hAnsi="Aptos" w:cs="Arial"/>
                <w:b/>
                <w:iCs/>
                <w:color w:val="000000" w:themeColor="text1"/>
              </w:rPr>
              <w:t xml:space="preserve">Aufbau </w:t>
            </w:r>
            <w:r w:rsidR="001039B6">
              <w:rPr>
                <w:rFonts w:ascii="Aptos" w:eastAsia="Calibri" w:hAnsi="Aptos" w:cs="Arial"/>
                <w:b/>
                <w:iCs/>
                <w:color w:val="000000" w:themeColor="text1"/>
              </w:rPr>
              <w:t>«</w:t>
            </w:r>
            <w:proofErr w:type="spellStart"/>
            <w:r w:rsidRPr="001039B6">
              <w:rPr>
                <w:rFonts w:ascii="Aptos" w:eastAsia="Calibri" w:hAnsi="Aptos" w:cs="Arial"/>
                <w:b/>
                <w:iCs/>
                <w:color w:val="000000" w:themeColor="text1"/>
              </w:rPr>
              <w:t>Anticipatec</w:t>
            </w:r>
            <w:r w:rsidR="00F15F67" w:rsidRPr="001039B6">
              <w:rPr>
                <w:rFonts w:ascii="Aptos" w:eastAsia="Calibri" w:hAnsi="Aptos" w:cs="Arial"/>
                <w:b/>
                <w:iCs/>
                <w:color w:val="000000" w:themeColor="text1"/>
              </w:rPr>
              <w:t>h</w:t>
            </w:r>
            <w:proofErr w:type="spellEnd"/>
            <w:r w:rsidR="001039B6">
              <w:rPr>
                <w:rFonts w:ascii="Aptos" w:eastAsia="Calibri" w:hAnsi="Aptos" w:cs="Arial"/>
                <w:b/>
                <w:iCs/>
                <w:color w:val="000000" w:themeColor="text1"/>
              </w:rPr>
              <w:t>»</w:t>
            </w:r>
            <w:r w:rsidRPr="001039B6">
              <w:rPr>
                <w:rFonts w:ascii="Aptos" w:eastAsia="Calibri" w:hAnsi="Aptos" w:cs="Arial"/>
                <w:bCs/>
                <w:iCs/>
                <w:color w:val="000000" w:themeColor="text1"/>
              </w:rPr>
              <w:t>.</w:t>
            </w:r>
          </w:p>
        </w:tc>
      </w:tr>
      <w:tr w:rsidR="007E32B6" w:rsidRPr="0035640D" w14:paraId="3A455746" w14:textId="77777777">
        <w:trPr>
          <w:trHeight w:val="60"/>
        </w:trPr>
        <w:tc>
          <w:tcPr>
            <w:tcW w:w="9354" w:type="dxa"/>
            <w:gridSpan w:val="3"/>
          </w:tcPr>
          <w:p w14:paraId="4EA565F5" w14:textId="3D3996ED" w:rsidR="007E32B6" w:rsidRPr="0035640D" w:rsidRDefault="0095488E">
            <w:pPr>
              <w:spacing w:before="60" w:after="60" w:line="276" w:lineRule="auto"/>
              <w:rPr>
                <w:rFonts w:ascii="Aptos" w:hAnsi="Aptos" w:cs="Arial"/>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xml:space="preserve">: </w:t>
            </w:r>
            <w:r w:rsidRPr="0035640D">
              <w:rPr>
                <w:rFonts w:ascii="Aptos" w:eastAsia="Calibri" w:hAnsi="Aptos" w:cs="Arial"/>
                <w:sz w:val="20"/>
                <w:szCs w:val="20"/>
              </w:rPr>
              <w:t xml:space="preserve">Die Entwicklung einer «Gemeinschaft von Innovatoren» mit unterschiedlichem Hintergrund wird fortgesetzt. Dies auf der Grundlage von Antizipationsmethoden und unter Einbezug von relevanten Experten. Es soll eine Roadmap vorgeschlagen werden, die in Angriff genommen werden muss, um technologische Fortschritte, aber auch gesellschaftliche Veränderungen bei der Entwicklung der NGDI zu berücksichtigen. </w:t>
            </w:r>
            <w:r w:rsidRPr="0035640D">
              <w:rPr>
                <w:rFonts w:ascii="Aptos" w:eastAsia="Calibri" w:hAnsi="Aptos" w:cs="Arial"/>
                <w:sz w:val="20"/>
                <w:szCs w:val="20"/>
              </w:rPr>
              <w:br/>
              <w:t>Auch müssen Vorschläge für den «Betrieb eines Innovationsprozesses» erarbeitet werden (</w:t>
            </w:r>
            <w:r w:rsidR="001039B6">
              <w:rPr>
                <w:rFonts w:ascii="Aptos" w:eastAsia="Calibri" w:hAnsi="Aptos" w:cs="Arial"/>
                <w:sz w:val="20"/>
                <w:szCs w:val="20"/>
              </w:rPr>
              <w:t>w</w:t>
            </w:r>
            <w:r w:rsidRPr="0035640D">
              <w:rPr>
                <w:rFonts w:ascii="Aptos" w:eastAsia="Calibri" w:hAnsi="Aptos" w:cs="Arial"/>
                <w:sz w:val="20"/>
                <w:szCs w:val="20"/>
              </w:rPr>
              <w:t>ie kommen die Themen aus Workshops zurück in die Prozesse der Strategieumsetzung?).</w:t>
            </w:r>
          </w:p>
        </w:tc>
      </w:tr>
      <w:tr w:rsidR="007E32B6" w:rsidRPr="0035640D" w14:paraId="42A40433" w14:textId="77777777">
        <w:trPr>
          <w:trHeight w:val="64"/>
        </w:trPr>
        <w:tc>
          <w:tcPr>
            <w:tcW w:w="9354" w:type="dxa"/>
            <w:gridSpan w:val="3"/>
          </w:tcPr>
          <w:p w14:paraId="1131E828" w14:textId="02A97894"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xml:space="preserve">: </w:t>
            </w:r>
            <w:r w:rsidRPr="0035640D">
              <w:rPr>
                <w:rFonts w:ascii="Aptos" w:eastAsia="Calibri" w:hAnsi="Aptos" w:cs="Arial"/>
                <w:color w:val="000000" w:themeColor="text1"/>
                <w:sz w:val="20"/>
                <w:szCs w:val="20"/>
              </w:rPr>
              <w:t>Fortführung des Technologieradars (5-24-2) und de</w:t>
            </w:r>
            <w:r w:rsidR="001039B6">
              <w:rPr>
                <w:rFonts w:ascii="Aptos" w:eastAsia="Calibri" w:hAnsi="Aptos" w:cs="Arial"/>
                <w:color w:val="000000" w:themeColor="text1"/>
                <w:sz w:val="20"/>
                <w:szCs w:val="20"/>
              </w:rPr>
              <w:t>r</w:t>
            </w:r>
            <w:r w:rsidRPr="0035640D">
              <w:rPr>
                <w:rFonts w:ascii="Aptos" w:eastAsia="Calibri" w:hAnsi="Aptos" w:cs="Arial"/>
                <w:color w:val="000000" w:themeColor="text1"/>
                <w:sz w:val="20"/>
                <w:szCs w:val="20"/>
              </w:rPr>
              <w:t xml:space="preserve"> </w:t>
            </w:r>
            <w:r w:rsidR="001039B6">
              <w:rPr>
                <w:rFonts w:ascii="Aptos" w:eastAsia="Calibri" w:hAnsi="Aptos" w:cs="Arial"/>
                <w:color w:val="000000" w:themeColor="text1"/>
                <w:sz w:val="20"/>
                <w:szCs w:val="20"/>
              </w:rPr>
              <w:t>«</w:t>
            </w:r>
            <w:proofErr w:type="spellStart"/>
            <w:r w:rsidRPr="001039B6">
              <w:rPr>
                <w:rFonts w:ascii="Aptos" w:eastAsia="Calibri" w:hAnsi="Aptos" w:cs="Arial"/>
                <w:color w:val="000000" w:themeColor="text1"/>
                <w:sz w:val="20"/>
                <w:szCs w:val="20"/>
              </w:rPr>
              <w:t>Anticipatech</w:t>
            </w:r>
            <w:proofErr w:type="spellEnd"/>
            <w:r w:rsidR="001039B6">
              <w:rPr>
                <w:rFonts w:ascii="Aptos" w:eastAsia="Calibri" w:hAnsi="Aptos" w:cs="Arial"/>
                <w:color w:val="000000" w:themeColor="text1"/>
                <w:sz w:val="20"/>
                <w:szCs w:val="20"/>
              </w:rPr>
              <w:t>»</w:t>
            </w:r>
            <w:r w:rsidRPr="0035640D">
              <w:rPr>
                <w:rFonts w:ascii="Aptos" w:eastAsia="Calibri" w:hAnsi="Aptos" w:cs="Arial"/>
                <w:color w:val="000000" w:themeColor="text1"/>
                <w:sz w:val="20"/>
                <w:szCs w:val="20"/>
              </w:rPr>
              <w:t>-Workshops von 2025.</w:t>
            </w:r>
          </w:p>
        </w:tc>
      </w:tr>
      <w:tr w:rsidR="007E32B6" w:rsidRPr="0035640D" w14:paraId="5F0D9393" w14:textId="77777777">
        <w:trPr>
          <w:trHeight w:val="392"/>
        </w:trPr>
        <w:tc>
          <w:tcPr>
            <w:tcW w:w="9354" w:type="dxa"/>
            <w:gridSpan w:val="3"/>
          </w:tcPr>
          <w:p w14:paraId="2941DED0" w14:textId="0AEBA03E"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Es werden zwei Workshops abgehalten, um die Auswirkungen technologischer Entwicklungen auf das NGDI zu ermitteln, und es wird eine Liste von Ma</w:t>
            </w:r>
            <w:r w:rsidR="001039B6">
              <w:rPr>
                <w:rFonts w:ascii="Aptos" w:eastAsia="Calibri" w:hAnsi="Aptos" w:cs="Arial"/>
                <w:color w:val="000000" w:themeColor="text1"/>
                <w:sz w:val="20"/>
                <w:szCs w:val="20"/>
              </w:rPr>
              <w:t>ss</w:t>
            </w:r>
            <w:r w:rsidRPr="0035640D">
              <w:rPr>
                <w:rFonts w:ascii="Aptos" w:eastAsia="Calibri" w:hAnsi="Aptos" w:cs="Arial"/>
                <w:color w:val="000000" w:themeColor="text1"/>
                <w:sz w:val="20"/>
                <w:szCs w:val="20"/>
              </w:rPr>
              <w:t>nahmen erstellt. Die Tätigkeiten des Technologieradars (5-24-2) und dieser Workshop sind für eine betriebliche Fortführung vorbereitet. Ein Vorschlag für den «Betrieb Innovationsprozesse» wird vorgelegt.</w:t>
            </w:r>
          </w:p>
        </w:tc>
      </w:tr>
      <w:tr w:rsidR="007E32B6" w:rsidRPr="0035640D" w14:paraId="787CA283" w14:textId="77777777">
        <w:trPr>
          <w:trHeight w:val="392"/>
        </w:trPr>
        <w:tc>
          <w:tcPr>
            <w:tcW w:w="9354" w:type="dxa"/>
            <w:gridSpan w:val="3"/>
          </w:tcPr>
          <w:p w14:paraId="26E34938"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Bericht der Workshop-Durchführungen, Betriebskonzept.</w:t>
            </w:r>
          </w:p>
        </w:tc>
      </w:tr>
      <w:tr w:rsidR="007E32B6" w:rsidRPr="0035640D" w14:paraId="1EE3EADB" w14:textId="77777777" w:rsidTr="0035640D">
        <w:trPr>
          <w:trHeight w:val="392"/>
        </w:trPr>
        <w:tc>
          <w:tcPr>
            <w:tcW w:w="4677" w:type="dxa"/>
            <w:gridSpan w:val="2"/>
          </w:tcPr>
          <w:p w14:paraId="60736C21"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Raphaël Rollier.</w:t>
            </w:r>
          </w:p>
        </w:tc>
        <w:tc>
          <w:tcPr>
            <w:tcW w:w="4677" w:type="dxa"/>
            <w:shd w:val="clear" w:color="auto" w:fill="DCEBE6"/>
          </w:tcPr>
          <w:p w14:paraId="47082799"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xml:space="preserve"> 40,000.— SFr.</w:t>
            </w:r>
          </w:p>
        </w:tc>
      </w:tr>
    </w:tbl>
    <w:p w14:paraId="28B597F8" w14:textId="77777777" w:rsidR="007E32B6" w:rsidRPr="0035640D" w:rsidRDefault="007E32B6">
      <w:pPr>
        <w:spacing w:line="276" w:lineRule="auto"/>
        <w:rPr>
          <w:rFonts w:ascii="Aptos" w:hAnsi="Aptos" w:cs="Arial"/>
        </w:rPr>
      </w:pPr>
    </w:p>
    <w:tbl>
      <w:tblPr>
        <w:tblStyle w:val="Tabellenraster"/>
        <w:tblW w:w="9354" w:type="dxa"/>
        <w:tblLayout w:type="fixed"/>
        <w:tblLook w:val="04A0" w:firstRow="1" w:lastRow="0" w:firstColumn="1" w:lastColumn="0" w:noHBand="0" w:noVBand="1"/>
      </w:tblPr>
      <w:tblGrid>
        <w:gridCol w:w="907"/>
        <w:gridCol w:w="4189"/>
        <w:gridCol w:w="4258"/>
      </w:tblGrid>
      <w:tr w:rsidR="007E32B6" w:rsidRPr="0035640D" w14:paraId="1501B49B" w14:textId="77777777">
        <w:trPr>
          <w:trHeight w:val="719"/>
        </w:trPr>
        <w:tc>
          <w:tcPr>
            <w:tcW w:w="907" w:type="dxa"/>
            <w:shd w:val="clear" w:color="auto" w:fill="8CBBAD"/>
          </w:tcPr>
          <w:p w14:paraId="5993D8B6"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5-26-2</w:t>
            </w:r>
          </w:p>
        </w:tc>
        <w:tc>
          <w:tcPr>
            <w:tcW w:w="8447" w:type="dxa"/>
            <w:gridSpan w:val="2"/>
            <w:shd w:val="clear" w:color="auto" w:fill="DCEBE6"/>
          </w:tcPr>
          <w:p w14:paraId="17EDB33C"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iCs/>
                <w:color w:val="000000" w:themeColor="text1"/>
              </w:rPr>
              <w:t>Interaktion</w:t>
            </w:r>
            <w:r w:rsidRPr="0035640D">
              <w:rPr>
                <w:rFonts w:ascii="Aptos" w:eastAsia="Calibri" w:hAnsi="Aptos" w:cs="Arial"/>
                <w:bCs/>
                <w:iCs/>
                <w:color w:val="000000" w:themeColor="text1"/>
              </w:rPr>
              <w:t xml:space="preserve"> mit Gefässen der </w:t>
            </w:r>
            <w:r w:rsidRPr="0035640D">
              <w:rPr>
                <w:rFonts w:ascii="Aptos" w:eastAsia="Calibri" w:hAnsi="Aptos" w:cs="Arial"/>
                <w:b/>
                <w:iCs/>
                <w:color w:val="000000" w:themeColor="text1"/>
              </w:rPr>
              <w:t>Innovationsförderung vertiefen</w:t>
            </w:r>
            <w:r w:rsidRPr="0035640D">
              <w:rPr>
                <w:rFonts w:ascii="Aptos" w:eastAsia="Calibri" w:hAnsi="Aptos" w:cs="Arial"/>
                <w:bCs/>
                <w:iCs/>
                <w:color w:val="000000" w:themeColor="text1"/>
              </w:rPr>
              <w:t>.</w:t>
            </w:r>
          </w:p>
        </w:tc>
      </w:tr>
      <w:tr w:rsidR="007E32B6" w:rsidRPr="0035640D" w14:paraId="57F9A531" w14:textId="77777777">
        <w:trPr>
          <w:trHeight w:val="60"/>
        </w:trPr>
        <w:tc>
          <w:tcPr>
            <w:tcW w:w="9354" w:type="dxa"/>
            <w:gridSpan w:val="3"/>
          </w:tcPr>
          <w:p w14:paraId="7D7A4D6F" w14:textId="77777777" w:rsidR="007E32B6" w:rsidRPr="0035640D" w:rsidRDefault="0095488E">
            <w:pPr>
              <w:spacing w:before="60" w:after="60" w:line="276" w:lineRule="auto"/>
              <w:rPr>
                <w:rFonts w:ascii="Aptos" w:hAnsi="Aptos" w:cs="Arial"/>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 Die Aktion 5-25-1, die sich auf die Optimierung von Innovationsansätzen konzentrierte, stellte bestehende Innovationsinstrumente vor. Anhand von fünf Anwendungsfällen werden Probleme identifiziert und geeignete Lösungskonzepte entwickelt. Darauf aufbauend will die neue Aktion die entwickelten Massnahmen zur Optimierung des Innovationsansatzes für die Anwendungsfälle erproben.</w:t>
            </w:r>
          </w:p>
        </w:tc>
      </w:tr>
      <w:tr w:rsidR="007E32B6" w:rsidRPr="0035640D" w14:paraId="6ED6B0C3" w14:textId="77777777">
        <w:trPr>
          <w:trHeight w:val="64"/>
        </w:trPr>
        <w:tc>
          <w:tcPr>
            <w:tcW w:w="9354" w:type="dxa"/>
            <w:gridSpan w:val="3"/>
          </w:tcPr>
          <w:p w14:paraId="1F432B09"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xml:space="preserve">: </w:t>
            </w:r>
            <w:r w:rsidRPr="0035640D">
              <w:rPr>
                <w:rFonts w:ascii="Aptos" w:eastAsia="Calibri" w:hAnsi="Aptos" w:cs="Arial"/>
                <w:color w:val="000000" w:themeColor="text1"/>
                <w:sz w:val="20"/>
                <w:szCs w:val="20"/>
              </w:rPr>
              <w:t>Nachfolgeaktion zu 5-25-1 Gefässe der Innovationsförderung. Es sollen keine neue Innovationsinstrumente entwickelt werden.</w:t>
            </w:r>
          </w:p>
        </w:tc>
      </w:tr>
      <w:tr w:rsidR="007E32B6" w:rsidRPr="0035640D" w14:paraId="141C1F97" w14:textId="77777777">
        <w:trPr>
          <w:trHeight w:val="392"/>
        </w:trPr>
        <w:tc>
          <w:tcPr>
            <w:tcW w:w="9354" w:type="dxa"/>
            <w:gridSpan w:val="3"/>
          </w:tcPr>
          <w:p w14:paraId="3D482765"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Erfahrungsbericht mit Herausforderungen und Empfehlungen. PoC.</w:t>
            </w:r>
          </w:p>
        </w:tc>
      </w:tr>
      <w:tr w:rsidR="007E32B6" w:rsidRPr="0035640D" w14:paraId="666F263E" w14:textId="77777777">
        <w:trPr>
          <w:trHeight w:val="392"/>
        </w:trPr>
        <w:tc>
          <w:tcPr>
            <w:tcW w:w="9354" w:type="dxa"/>
            <w:gridSpan w:val="3"/>
          </w:tcPr>
          <w:p w14:paraId="15F4ABCA"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Die Massnahme für innovative Projekte wurde anhand eines Fallbeispiels eingeführt, der entsprechende Erfahrungsbericht ist abgenommen.</w:t>
            </w:r>
          </w:p>
        </w:tc>
      </w:tr>
      <w:tr w:rsidR="007E32B6" w:rsidRPr="0035640D" w14:paraId="148CB9D5" w14:textId="77777777" w:rsidTr="0035640D">
        <w:trPr>
          <w:trHeight w:val="392"/>
        </w:trPr>
        <w:tc>
          <w:tcPr>
            <w:tcW w:w="5096" w:type="dxa"/>
            <w:gridSpan w:val="2"/>
          </w:tcPr>
          <w:p w14:paraId="511B0BC3"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Roxanne Pott, Filipa Machado.</w:t>
            </w:r>
          </w:p>
        </w:tc>
        <w:tc>
          <w:tcPr>
            <w:tcW w:w="4258" w:type="dxa"/>
            <w:shd w:val="clear" w:color="auto" w:fill="DCEBE6"/>
          </w:tcPr>
          <w:p w14:paraId="159F1F9E"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bCs/>
                <w:color w:val="000000" w:themeColor="text1"/>
                <w:sz w:val="20"/>
                <w:szCs w:val="20"/>
              </w:rPr>
              <w:t>Kostenschätzung:</w:t>
            </w:r>
            <w:r w:rsidRPr="0035640D">
              <w:rPr>
                <w:rFonts w:ascii="Aptos" w:eastAsia="Calibri" w:hAnsi="Aptos" w:cs="Arial"/>
                <w:color w:val="000000" w:themeColor="text1"/>
                <w:sz w:val="20"/>
                <w:szCs w:val="20"/>
              </w:rPr>
              <w:t xml:space="preserve"> 20,000.— SFr.</w:t>
            </w:r>
          </w:p>
        </w:tc>
      </w:tr>
    </w:tbl>
    <w:p w14:paraId="75C1D427" w14:textId="77777777" w:rsidR="007E32B6" w:rsidRPr="0035640D" w:rsidRDefault="007E32B6">
      <w:pPr>
        <w:rPr>
          <w:rFonts w:ascii="Aptos" w:hAnsi="Aptos" w:cs="Arial"/>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7F31776D" w14:textId="77777777">
        <w:trPr>
          <w:trHeight w:val="719"/>
        </w:trPr>
        <w:tc>
          <w:tcPr>
            <w:tcW w:w="907" w:type="dxa"/>
            <w:shd w:val="clear" w:color="auto" w:fill="8CBBAD"/>
          </w:tcPr>
          <w:p w14:paraId="27F4C9B7" w14:textId="77777777" w:rsidR="007E32B6" w:rsidRPr="0035640D" w:rsidRDefault="0095488E">
            <w:pPr>
              <w:spacing w:before="60" w:after="60" w:line="276" w:lineRule="auto"/>
              <w:jc w:val="center"/>
              <w:rPr>
                <w:rFonts w:ascii="Aptos" w:hAnsi="Aptos" w:cs="Arial"/>
                <w:b/>
                <w:color w:val="FFFFFF" w:themeColor="background1"/>
              </w:rPr>
            </w:pPr>
            <w:r w:rsidRPr="0035640D">
              <w:rPr>
                <w:rFonts w:ascii="Aptos" w:eastAsia="Calibri" w:hAnsi="Aptos" w:cs="Arial"/>
                <w:b/>
                <w:color w:val="FFFFFF" w:themeColor="background1"/>
              </w:rPr>
              <w:t>5-26-3</w:t>
            </w:r>
          </w:p>
        </w:tc>
        <w:tc>
          <w:tcPr>
            <w:tcW w:w="8447" w:type="dxa"/>
            <w:gridSpan w:val="2"/>
            <w:shd w:val="clear" w:color="auto" w:fill="DCEBE6"/>
          </w:tcPr>
          <w:p w14:paraId="74EB3A88" w14:textId="77777777" w:rsidR="007E32B6" w:rsidRPr="0035640D" w:rsidRDefault="0095488E">
            <w:pPr>
              <w:spacing w:before="60" w:after="60" w:line="276" w:lineRule="auto"/>
              <w:ind w:left="39"/>
              <w:rPr>
                <w:rFonts w:ascii="Aptos" w:hAnsi="Aptos" w:cs="Arial"/>
                <w:iCs/>
                <w:color w:val="000000" w:themeColor="text1"/>
              </w:rPr>
            </w:pPr>
            <w:r w:rsidRPr="0035640D">
              <w:rPr>
                <w:rFonts w:ascii="Aptos" w:eastAsia="Calibri" w:hAnsi="Aptos" w:cs="Arial"/>
                <w:b/>
                <w:iCs/>
                <w:color w:val="000000" w:themeColor="text1"/>
              </w:rPr>
              <w:t>Vertiefung und Konkretisierung LLM/generative KI im Bereich Geoinformation</w:t>
            </w:r>
          </w:p>
        </w:tc>
      </w:tr>
      <w:tr w:rsidR="007E32B6" w:rsidRPr="0035640D" w14:paraId="1C059F57" w14:textId="77777777">
        <w:trPr>
          <w:trHeight w:val="60"/>
        </w:trPr>
        <w:tc>
          <w:tcPr>
            <w:tcW w:w="9354" w:type="dxa"/>
            <w:gridSpan w:val="3"/>
          </w:tcPr>
          <w:p w14:paraId="27BF92E6" w14:textId="77777777" w:rsidR="007E32B6" w:rsidRPr="0035640D" w:rsidRDefault="0095488E">
            <w:pPr>
              <w:spacing w:before="60" w:after="60" w:line="276" w:lineRule="auto"/>
              <w:ind w:left="39"/>
              <w:rPr>
                <w:rFonts w:ascii="Aptos" w:hAnsi="Aptos" w:cs="Arial"/>
                <w:bCs/>
                <w:sz w:val="20"/>
                <w:szCs w:val="20"/>
              </w:rPr>
            </w:pPr>
            <w:r w:rsidRPr="0035640D">
              <w:rPr>
                <w:rFonts w:ascii="Aptos" w:eastAsia="Calibri" w:hAnsi="Aptos" w:cs="Arial"/>
                <w:b/>
                <w:bCs/>
                <w:color w:val="000000" w:themeColor="text1"/>
                <w:sz w:val="20"/>
                <w:szCs w:val="20"/>
              </w:rPr>
              <w:t>Bedarf, Vorgehen</w:t>
            </w:r>
            <w:r w:rsidRPr="0035640D">
              <w:rPr>
                <w:rFonts w:ascii="Aptos" w:eastAsia="Calibri" w:hAnsi="Aptos" w:cs="Arial"/>
                <w:bCs/>
                <w:color w:val="000000" w:themeColor="text1"/>
                <w:sz w:val="20"/>
                <w:szCs w:val="20"/>
              </w:rPr>
              <w:t>:</w:t>
            </w:r>
            <w:r w:rsidRPr="0035640D">
              <w:rPr>
                <w:rFonts w:ascii="Aptos" w:eastAsia="Calibri" w:hAnsi="Aptos" w:cs="Arial"/>
                <w:bCs/>
                <w:sz w:val="20"/>
                <w:szCs w:val="20"/>
              </w:rPr>
              <w:t xml:space="preserve"> In der Aktion 4-24-2 des Aktionsplans 2024 wurde der Stand der Technik der durchgeführten und laufenden Arbeiten im Zusammenhang mit der Integration der geografischen Dimension in die LLM-Tools untersucht. Das Potenzial von LLM in Verbindung mit den Komponenten einer Geodaten-Infrastruktur wurden im Rahmen von Prototypen analysiert. </w:t>
            </w:r>
          </w:p>
          <w:p w14:paraId="7B735698" w14:textId="77777777" w:rsidR="007E32B6" w:rsidRPr="0035640D" w:rsidRDefault="0095488E">
            <w:pPr>
              <w:spacing w:before="60" w:after="60" w:line="276" w:lineRule="auto"/>
              <w:ind w:left="39"/>
              <w:rPr>
                <w:rFonts w:ascii="Aptos" w:hAnsi="Aptos" w:cs="Arial"/>
                <w:bCs/>
                <w:sz w:val="20"/>
                <w:szCs w:val="20"/>
              </w:rPr>
            </w:pPr>
            <w:r w:rsidRPr="0035640D">
              <w:rPr>
                <w:rFonts w:ascii="Aptos" w:eastAsia="Calibri" w:hAnsi="Aptos" w:cs="Arial"/>
                <w:bCs/>
                <w:sz w:val="20"/>
                <w:szCs w:val="20"/>
              </w:rPr>
              <w:t>In der Aktion 5-25-2 des Aktionsplans 2025 wurden die Ergebnisse und Erkenntnisse aus diesen Arbeiten weitergeführt und eine Entscheidungsgrundlage für die Eisetzbarkeit von LLMs in der NGDI erstellt. Die Prototypen wurden von Leuten ausserhalb des Projektteams getestet. Die Analyse der Testergebnisse zeigt, dass: (i) die semantische Suche eine Anwendung zu sein scheint, in die man investieren kann und die im Rahmen der NGDI-Komponenten umgesetzt werden kann; (ii) die Umsetzung eines Systems zur Nutzung und Analyse von Geodaten in einem so grossen Kontext wie dem der NGDI noch kompliziert und nicht ausgereift ist.</w:t>
            </w:r>
          </w:p>
          <w:p w14:paraId="12CE0BA5" w14:textId="77777777" w:rsidR="007E32B6" w:rsidRPr="0035640D" w:rsidRDefault="0095488E">
            <w:pPr>
              <w:spacing w:before="60" w:after="60" w:line="276" w:lineRule="auto"/>
              <w:ind w:left="39"/>
              <w:rPr>
                <w:rFonts w:ascii="Aptos" w:hAnsi="Aptos" w:cs="Arial"/>
                <w:bCs/>
                <w:sz w:val="20"/>
                <w:szCs w:val="20"/>
              </w:rPr>
            </w:pPr>
            <w:r w:rsidRPr="0035640D">
              <w:rPr>
                <w:rFonts w:ascii="Aptos" w:eastAsia="Calibri" w:hAnsi="Aptos" w:cs="Arial"/>
                <w:bCs/>
                <w:sz w:val="20"/>
                <w:szCs w:val="20"/>
              </w:rPr>
              <w:t xml:space="preserve">Außerdem wurden die Grenzen, Einschränkungen und Risiken in Bezug auf </w:t>
            </w:r>
            <w:r w:rsidRPr="0035640D">
              <w:rPr>
                <w:rFonts w:ascii="Aptos" w:eastAsia="Calibri" w:hAnsi="Aptos" w:cs="Arial"/>
                <w:sz w:val="20"/>
                <w:szCs w:val="20"/>
              </w:rPr>
              <w:t xml:space="preserve">Ethik, Ökologie, Recht, Technik und Sicherheit identifiziert und klassifiziert, und es wurden Minderungsmassnahmen </w:t>
            </w:r>
            <w:r w:rsidRPr="0035640D">
              <w:rPr>
                <w:rFonts w:ascii="Aptos" w:eastAsia="Calibri" w:hAnsi="Aptos" w:cs="Arial"/>
                <w:bCs/>
                <w:sz w:val="20"/>
                <w:szCs w:val="20"/>
              </w:rPr>
              <w:t xml:space="preserve">identifiziert. </w:t>
            </w:r>
          </w:p>
          <w:p w14:paraId="05A16753" w14:textId="77777777" w:rsidR="007E32B6" w:rsidRPr="0035640D" w:rsidRDefault="0095488E">
            <w:pPr>
              <w:spacing w:before="60" w:after="60" w:line="276" w:lineRule="auto"/>
              <w:ind w:left="39"/>
              <w:rPr>
                <w:rFonts w:ascii="Aptos" w:hAnsi="Aptos" w:cs="Arial"/>
                <w:sz w:val="20"/>
                <w:szCs w:val="20"/>
              </w:rPr>
            </w:pPr>
            <w:r w:rsidRPr="0035640D">
              <w:rPr>
                <w:rFonts w:ascii="Aptos" w:eastAsia="Calibri" w:hAnsi="Aptos" w:cs="Arial"/>
                <w:bCs/>
                <w:sz w:val="20"/>
                <w:szCs w:val="20"/>
              </w:rPr>
              <w:t>Nun sollen einerseits die</w:t>
            </w:r>
            <w:r w:rsidRPr="0035640D">
              <w:rPr>
                <w:rFonts w:ascii="Aptos" w:eastAsia="Calibri" w:hAnsi="Aptos" w:cs="Arial"/>
                <w:sz w:val="20"/>
                <w:szCs w:val="20"/>
              </w:rPr>
              <w:t xml:space="preserve"> Minderungsmassnahmen getestet und validiert werden und andererseits die produktive Umsetzbarkeit dieser Tools in einigen Komponenten der NGDI untersucht werden. Dies kann zu einer ersten Umsetzung in einer Alphaversion führen. Dies in Übereinstimmung und Prüfung der ethischen, rechtlichen und Umwelt-Aspekte der Minderungsmassnahme.</w:t>
            </w:r>
          </w:p>
        </w:tc>
      </w:tr>
      <w:tr w:rsidR="007E32B6" w:rsidRPr="0035640D" w14:paraId="0EF3A3E8" w14:textId="77777777">
        <w:trPr>
          <w:trHeight w:val="392"/>
        </w:trPr>
        <w:tc>
          <w:tcPr>
            <w:tcW w:w="9354" w:type="dxa"/>
            <w:gridSpan w:val="3"/>
          </w:tcPr>
          <w:p w14:paraId="1EBE8B53" w14:textId="77777777" w:rsidR="007E32B6" w:rsidRPr="0035640D" w:rsidRDefault="0095488E">
            <w:pPr>
              <w:spacing w:before="60" w:after="60" w:line="276" w:lineRule="auto"/>
              <w:ind w:left="39"/>
              <w:rPr>
                <w:rFonts w:ascii="Aptos" w:hAnsi="Aptos" w:cs="Arial"/>
                <w:bCs/>
                <w:color w:val="000000" w:themeColor="text1"/>
                <w:sz w:val="20"/>
                <w:szCs w:val="20"/>
                <w:u w:val="single"/>
              </w:rPr>
            </w:pPr>
            <w:r w:rsidRPr="0035640D">
              <w:rPr>
                <w:rFonts w:ascii="Aptos" w:eastAsia="Calibri" w:hAnsi="Aptos" w:cs="Arial"/>
                <w:b/>
                <w:color w:val="000000" w:themeColor="text1"/>
                <w:sz w:val="20"/>
                <w:szCs w:val="20"/>
              </w:rPr>
              <w:t>Lieferobjekte</w:t>
            </w:r>
            <w:r w:rsidRPr="0035640D">
              <w:rPr>
                <w:rFonts w:ascii="Aptos" w:eastAsia="Calibri" w:hAnsi="Aptos" w:cs="Arial"/>
                <w:color w:val="000000" w:themeColor="text1"/>
                <w:sz w:val="20"/>
                <w:szCs w:val="20"/>
              </w:rPr>
              <w:t xml:space="preserve">: </w:t>
            </w:r>
            <w:r w:rsidRPr="0035640D">
              <w:rPr>
                <w:rFonts w:ascii="Aptos" w:eastAsia="Calibri" w:hAnsi="Aptos" w:cs="Arial"/>
                <w:iCs/>
                <w:sz w:val="20"/>
                <w:szCs w:val="20"/>
              </w:rPr>
              <w:t xml:space="preserve">Implementierung und Validierung der </w:t>
            </w:r>
            <w:r w:rsidRPr="0035640D">
              <w:rPr>
                <w:rFonts w:ascii="Aptos" w:eastAsia="Calibri" w:hAnsi="Aptos" w:cs="Arial"/>
                <w:sz w:val="20"/>
                <w:szCs w:val="20"/>
              </w:rPr>
              <w:t>Minderungsmassnahmen; Umsetzung der semantische Suche in geocat.ch und in der Testumgebung von SWISSGEO</w:t>
            </w:r>
            <w:r w:rsidRPr="0035640D">
              <w:rPr>
                <w:rFonts w:ascii="Aptos" w:eastAsia="Calibri" w:hAnsi="Aptos" w:cs="Arial"/>
                <w:iCs/>
                <w:sz w:val="20"/>
                <w:szCs w:val="20"/>
              </w:rPr>
              <w:t>.</w:t>
            </w:r>
          </w:p>
        </w:tc>
      </w:tr>
      <w:tr w:rsidR="007E32B6" w:rsidRPr="0035640D" w14:paraId="3FFC226D" w14:textId="77777777">
        <w:trPr>
          <w:trHeight w:val="392"/>
        </w:trPr>
        <w:tc>
          <w:tcPr>
            <w:tcW w:w="9354" w:type="dxa"/>
            <w:gridSpan w:val="3"/>
          </w:tcPr>
          <w:p w14:paraId="33E3A9F6" w14:textId="77777777" w:rsidR="007E32B6" w:rsidRPr="0035640D" w:rsidRDefault="0095488E">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Erfüllungskriterium</w:t>
            </w:r>
            <w:r w:rsidRPr="0035640D">
              <w:rPr>
                <w:rFonts w:ascii="Aptos" w:eastAsia="Calibri" w:hAnsi="Aptos" w:cs="Arial"/>
                <w:color w:val="000000" w:themeColor="text1"/>
                <w:sz w:val="20"/>
                <w:szCs w:val="20"/>
              </w:rPr>
              <w:t>: Abnahme beider Lieferobjekte durch das SGS-Management.</w:t>
            </w:r>
          </w:p>
        </w:tc>
      </w:tr>
      <w:tr w:rsidR="007E32B6" w:rsidRPr="0035640D" w14:paraId="59903177" w14:textId="77777777" w:rsidTr="0035640D">
        <w:trPr>
          <w:trHeight w:val="392"/>
        </w:trPr>
        <w:tc>
          <w:tcPr>
            <w:tcW w:w="4677" w:type="dxa"/>
            <w:gridSpan w:val="2"/>
          </w:tcPr>
          <w:p w14:paraId="46C18431"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xml:space="preserve">: </w:t>
            </w:r>
            <w:r w:rsidRPr="0035640D">
              <w:rPr>
                <w:rFonts w:ascii="Aptos" w:eastAsia="Calibri" w:hAnsi="Aptos" w:cs="Arial"/>
                <w:sz w:val="20"/>
                <w:szCs w:val="20"/>
                <w:lang w:val="it-CH"/>
              </w:rPr>
              <w:t>Pasquale Di Donato, Raphaëlle Arnaud, Christine Najar</w:t>
            </w:r>
            <w:r w:rsidRPr="0035640D">
              <w:rPr>
                <w:rFonts w:ascii="Aptos" w:eastAsia="Calibri" w:hAnsi="Aptos" w:cs="Arial"/>
                <w:sz w:val="20"/>
                <w:szCs w:val="20"/>
              </w:rPr>
              <w:t>.</w:t>
            </w:r>
          </w:p>
        </w:tc>
        <w:tc>
          <w:tcPr>
            <w:tcW w:w="4677" w:type="dxa"/>
            <w:shd w:val="clear" w:color="auto" w:fill="DCEBE6"/>
          </w:tcPr>
          <w:p w14:paraId="08F9286A" w14:textId="77777777" w:rsidR="007E32B6" w:rsidRPr="0035640D" w:rsidRDefault="0095488E">
            <w:pPr>
              <w:spacing w:before="60" w:after="60" w:line="276" w:lineRule="auto"/>
              <w:ind w:left="39"/>
              <w:rPr>
                <w:rFonts w:ascii="Aptos" w:hAnsi="Aptos" w:cs="Arial"/>
                <w:color w:val="000000" w:themeColor="text1"/>
                <w:sz w:val="20"/>
                <w:szCs w:val="20"/>
                <w:u w:val="single"/>
              </w:rPr>
            </w:pPr>
            <w:r w:rsidRPr="0035640D">
              <w:rPr>
                <w:rFonts w:ascii="Aptos" w:eastAsia="Calibri" w:hAnsi="Aptos" w:cs="Arial"/>
                <w:b/>
                <w:color w:val="000000" w:themeColor="text1"/>
                <w:sz w:val="20"/>
                <w:szCs w:val="20"/>
              </w:rPr>
              <w:t xml:space="preserve">Kostenschätzung: </w:t>
            </w:r>
            <w:r w:rsidRPr="0035640D">
              <w:rPr>
                <w:rFonts w:ascii="Aptos" w:eastAsia="Calibri" w:hAnsi="Aptos" w:cs="Arial"/>
                <w:bCs/>
                <w:color w:val="000000" w:themeColor="text1"/>
                <w:sz w:val="20"/>
                <w:szCs w:val="20"/>
              </w:rPr>
              <w:t>75,</w:t>
            </w:r>
            <w:r w:rsidRPr="0035640D">
              <w:rPr>
                <w:rFonts w:ascii="Aptos" w:eastAsia="Calibri" w:hAnsi="Aptos" w:cs="Arial"/>
                <w:color w:val="000000" w:themeColor="text1"/>
                <w:sz w:val="20"/>
                <w:szCs w:val="20"/>
              </w:rPr>
              <w:t>000.— SFr.</w:t>
            </w:r>
            <w:bookmarkStart w:id="28" w:name="_Hlk207034023"/>
            <w:bookmarkStart w:id="29" w:name="_Hlk207033622"/>
            <w:bookmarkEnd w:id="28"/>
            <w:bookmarkEnd w:id="29"/>
          </w:p>
        </w:tc>
      </w:tr>
    </w:tbl>
    <w:p w14:paraId="0BC67C99" w14:textId="77777777" w:rsidR="007E32B6" w:rsidRDefault="007E32B6">
      <w:pPr>
        <w:rPr>
          <w:rFonts w:ascii="Aptos" w:hAnsi="Aptos" w:cs="Arial"/>
        </w:rPr>
      </w:pPr>
    </w:p>
    <w:p w14:paraId="7ED01084" w14:textId="77777777" w:rsidR="002568FB" w:rsidRDefault="002568FB">
      <w:pPr>
        <w:suppressAutoHyphens/>
        <w:spacing w:after="0" w:line="240" w:lineRule="auto"/>
        <w:rPr>
          <w:rFonts w:ascii="Aptos" w:hAnsi="Aptos" w:cs="Arial"/>
          <w:color w:val="D66A3A"/>
          <w:sz w:val="28"/>
          <w:szCs w:val="28"/>
        </w:rPr>
      </w:pPr>
      <w:bookmarkStart w:id="30" w:name="_Toc211502018"/>
      <w:r>
        <w:rPr>
          <w:rFonts w:ascii="Aptos" w:hAnsi="Aptos"/>
        </w:rPr>
        <w:br w:type="page"/>
      </w:r>
    </w:p>
    <w:p w14:paraId="58A6AF4E" w14:textId="01463E48" w:rsidR="007E32B6" w:rsidRPr="0035640D" w:rsidRDefault="0095488E">
      <w:pPr>
        <w:pStyle w:val="berschrift3"/>
        <w:rPr>
          <w:rFonts w:ascii="Aptos" w:hAnsi="Aptos"/>
          <w:b/>
        </w:rPr>
      </w:pPr>
      <w:r w:rsidRPr="0035640D">
        <w:rPr>
          <w:rFonts w:ascii="Aptos" w:hAnsi="Aptos"/>
        </w:rPr>
        <w:lastRenderedPageBreak/>
        <w:t xml:space="preserve">Aktionsfeld 6: </w:t>
      </w:r>
      <w:r w:rsidRPr="0035640D">
        <w:rPr>
          <w:rFonts w:ascii="Aptos" w:hAnsi="Aptos"/>
          <w:b/>
        </w:rPr>
        <w:t>Kompetenzen aufbauen und stärken</w:t>
      </w:r>
      <w:bookmarkEnd w:id="30"/>
    </w:p>
    <w:tbl>
      <w:tblPr>
        <w:tblStyle w:val="Tabellenraster"/>
        <w:tblW w:w="9354" w:type="dxa"/>
        <w:tblLayout w:type="fixed"/>
        <w:tblLook w:val="04A0" w:firstRow="1" w:lastRow="0" w:firstColumn="1" w:lastColumn="0" w:noHBand="0" w:noVBand="1"/>
      </w:tblPr>
      <w:tblGrid>
        <w:gridCol w:w="907"/>
        <w:gridCol w:w="3770"/>
        <w:gridCol w:w="4677"/>
      </w:tblGrid>
      <w:tr w:rsidR="007E32B6" w:rsidRPr="00384F88" w14:paraId="02F0BAFB" w14:textId="77777777">
        <w:trPr>
          <w:trHeight w:val="719"/>
        </w:trPr>
        <w:tc>
          <w:tcPr>
            <w:tcW w:w="907" w:type="dxa"/>
            <w:shd w:val="clear" w:color="auto" w:fill="8CBBAD"/>
          </w:tcPr>
          <w:p w14:paraId="0DA0263F" w14:textId="77777777" w:rsidR="007E32B6" w:rsidRPr="00384F88" w:rsidRDefault="0095488E">
            <w:pPr>
              <w:spacing w:before="60" w:after="60" w:line="276" w:lineRule="auto"/>
              <w:jc w:val="center"/>
              <w:rPr>
                <w:rFonts w:ascii="Aptos" w:hAnsi="Aptos" w:cs="Arial"/>
                <w:bCs/>
                <w:color w:val="FFFFFF" w:themeColor="background1"/>
              </w:rPr>
            </w:pPr>
            <w:r w:rsidRPr="00384F88">
              <w:rPr>
                <w:rFonts w:ascii="Aptos" w:eastAsia="Calibri" w:hAnsi="Aptos" w:cs="Arial"/>
                <w:b/>
                <w:color w:val="FFFFFF" w:themeColor="background1"/>
              </w:rPr>
              <w:t>6-26-1</w:t>
            </w:r>
          </w:p>
        </w:tc>
        <w:tc>
          <w:tcPr>
            <w:tcW w:w="8447" w:type="dxa"/>
            <w:gridSpan w:val="2"/>
            <w:shd w:val="clear" w:color="auto" w:fill="DCEBE6"/>
          </w:tcPr>
          <w:p w14:paraId="53E7E95F" w14:textId="4C0D6E76" w:rsidR="007E32B6" w:rsidRPr="00384F88" w:rsidRDefault="00384F88">
            <w:pPr>
              <w:spacing w:before="60" w:after="60" w:line="276" w:lineRule="auto"/>
              <w:ind w:left="39"/>
              <w:rPr>
                <w:rFonts w:ascii="Aptos" w:hAnsi="Aptos" w:cs="Arial"/>
                <w:b/>
              </w:rPr>
            </w:pPr>
            <w:r w:rsidRPr="00384F88">
              <w:rPr>
                <w:rFonts w:ascii="Aptos" w:eastAsia="Calibri" w:hAnsi="Aptos" w:cs="Arial"/>
                <w:b/>
              </w:rPr>
              <w:t>Massnahmenkatalog Fachkräftemangel</w:t>
            </w:r>
          </w:p>
        </w:tc>
      </w:tr>
      <w:tr w:rsidR="00384F88" w:rsidRPr="00384F88" w14:paraId="41EF0716" w14:textId="77777777">
        <w:trPr>
          <w:trHeight w:val="70"/>
        </w:trPr>
        <w:tc>
          <w:tcPr>
            <w:tcW w:w="9354" w:type="dxa"/>
            <w:gridSpan w:val="3"/>
          </w:tcPr>
          <w:p w14:paraId="6841DE03" w14:textId="76B4E5F9" w:rsidR="007E32B6" w:rsidRPr="00384F88" w:rsidRDefault="0095488E">
            <w:pPr>
              <w:spacing w:before="60" w:after="60" w:line="276" w:lineRule="auto"/>
              <w:ind w:left="39"/>
              <w:rPr>
                <w:rFonts w:ascii="Aptos" w:hAnsi="Aptos" w:cs="Arial"/>
                <w:bCs/>
                <w:sz w:val="20"/>
                <w:szCs w:val="20"/>
              </w:rPr>
            </w:pPr>
            <w:r w:rsidRPr="00384F88">
              <w:rPr>
                <w:rFonts w:ascii="Aptos" w:eastAsia="Calibri" w:hAnsi="Aptos" w:cs="Arial"/>
                <w:b/>
                <w:bCs/>
                <w:sz w:val="20"/>
                <w:szCs w:val="20"/>
              </w:rPr>
              <w:t>Bedarf, Vorgehen</w:t>
            </w:r>
            <w:r w:rsidRPr="00384F88">
              <w:rPr>
                <w:rFonts w:ascii="Aptos" w:eastAsia="Calibri" w:hAnsi="Aptos" w:cs="Arial"/>
                <w:bCs/>
                <w:sz w:val="20"/>
                <w:szCs w:val="20"/>
              </w:rPr>
              <w:t xml:space="preserve">: </w:t>
            </w:r>
            <w:r w:rsidR="00384F88" w:rsidRPr="00384F88">
              <w:rPr>
                <w:rFonts w:ascii="Aptos" w:eastAsia="Calibri" w:hAnsi="Aptos" w:cs="Arial"/>
                <w:bCs/>
                <w:sz w:val="20"/>
                <w:szCs w:val="20"/>
              </w:rPr>
              <w:t>B</w:t>
            </w:r>
            <w:r w:rsidR="00384F88">
              <w:rPr>
                <w:rFonts w:ascii="Aptos" w:eastAsia="Calibri" w:hAnsi="Aptos" w:cs="Arial"/>
                <w:bCs/>
                <w:sz w:val="20"/>
                <w:szCs w:val="20"/>
              </w:rPr>
              <w:t>asierend auf den in der Aktion 6-25-1 entwickelten Bedarfsindikatoren und den Experten-Interviews soll ein Massna</w:t>
            </w:r>
            <w:r w:rsidR="002568FB">
              <w:rPr>
                <w:rFonts w:ascii="Aptos" w:eastAsia="Calibri" w:hAnsi="Aptos" w:cs="Arial"/>
                <w:bCs/>
                <w:sz w:val="20"/>
                <w:szCs w:val="20"/>
              </w:rPr>
              <w:t>h</w:t>
            </w:r>
            <w:r w:rsidR="00384F88">
              <w:rPr>
                <w:rFonts w:ascii="Aptos" w:eastAsia="Calibri" w:hAnsi="Aptos" w:cs="Arial"/>
                <w:bCs/>
                <w:sz w:val="20"/>
                <w:szCs w:val="20"/>
              </w:rPr>
              <w:t>menkatalog definiert werden. Mindestens zwei Massnahmen sollen 2026 mit externer Unterstützung umgesetzt werden.</w:t>
            </w:r>
            <w:r w:rsidRPr="00384F88">
              <w:rPr>
                <w:rFonts w:ascii="Aptos" w:eastAsia="Calibri" w:hAnsi="Aptos" w:cs="Arial"/>
                <w:bCs/>
                <w:sz w:val="20"/>
                <w:szCs w:val="20"/>
              </w:rPr>
              <w:t xml:space="preserve"> </w:t>
            </w:r>
          </w:p>
        </w:tc>
      </w:tr>
      <w:tr w:rsidR="00384F88" w:rsidRPr="00384F88" w14:paraId="4CCCBCA0" w14:textId="77777777">
        <w:trPr>
          <w:trHeight w:val="70"/>
        </w:trPr>
        <w:tc>
          <w:tcPr>
            <w:tcW w:w="9354" w:type="dxa"/>
            <w:gridSpan w:val="3"/>
          </w:tcPr>
          <w:p w14:paraId="09EFBA5A" w14:textId="738F6C33" w:rsidR="007E32B6" w:rsidRPr="00384F88" w:rsidRDefault="0095488E">
            <w:pPr>
              <w:spacing w:before="60" w:after="60" w:line="276" w:lineRule="auto"/>
              <w:ind w:left="39"/>
              <w:rPr>
                <w:rFonts w:ascii="Aptos" w:hAnsi="Aptos" w:cs="Arial"/>
                <w:bCs/>
                <w:sz w:val="20"/>
                <w:szCs w:val="20"/>
              </w:rPr>
            </w:pPr>
            <w:r w:rsidRPr="00384F88">
              <w:rPr>
                <w:rFonts w:ascii="Aptos" w:eastAsia="Calibri" w:hAnsi="Aptos" w:cs="Arial"/>
                <w:b/>
                <w:bCs/>
                <w:sz w:val="20"/>
                <w:szCs w:val="20"/>
              </w:rPr>
              <w:t>Abgrenzung</w:t>
            </w:r>
            <w:r w:rsidRPr="00384F88">
              <w:rPr>
                <w:rFonts w:ascii="Aptos" w:eastAsia="Calibri" w:hAnsi="Aptos" w:cs="Arial"/>
                <w:bCs/>
                <w:sz w:val="20"/>
                <w:szCs w:val="20"/>
              </w:rPr>
              <w:t>: Nachfolgeaktion zu 6-25-1 Bedarfsindikator Aus- und Weiterbildung</w:t>
            </w:r>
            <w:r w:rsidR="00384F88">
              <w:rPr>
                <w:rFonts w:ascii="Aptos" w:eastAsia="Calibri" w:hAnsi="Aptos" w:cs="Arial"/>
                <w:bCs/>
                <w:sz w:val="20"/>
                <w:szCs w:val="20"/>
              </w:rPr>
              <w:t>.</w:t>
            </w:r>
          </w:p>
        </w:tc>
      </w:tr>
      <w:tr w:rsidR="00384F88" w:rsidRPr="00384F88" w14:paraId="286CE183" w14:textId="77777777">
        <w:trPr>
          <w:trHeight w:val="392"/>
        </w:trPr>
        <w:tc>
          <w:tcPr>
            <w:tcW w:w="9354" w:type="dxa"/>
            <w:gridSpan w:val="3"/>
          </w:tcPr>
          <w:p w14:paraId="656D2D39" w14:textId="27E55C59" w:rsidR="007E32B6" w:rsidRPr="00384F88" w:rsidRDefault="0095488E">
            <w:pPr>
              <w:spacing w:before="60" w:after="60" w:line="276" w:lineRule="auto"/>
              <w:ind w:left="39"/>
              <w:rPr>
                <w:rFonts w:ascii="Aptos" w:hAnsi="Aptos" w:cs="Arial"/>
                <w:bCs/>
                <w:sz w:val="20"/>
                <w:szCs w:val="20"/>
              </w:rPr>
            </w:pPr>
            <w:r w:rsidRPr="00384F88">
              <w:rPr>
                <w:rFonts w:ascii="Aptos" w:eastAsia="Calibri" w:hAnsi="Aptos" w:cs="Arial"/>
                <w:b/>
                <w:sz w:val="20"/>
                <w:szCs w:val="20"/>
              </w:rPr>
              <w:t>Lieferobjekte</w:t>
            </w:r>
            <w:r w:rsidRPr="00384F88">
              <w:rPr>
                <w:rFonts w:ascii="Aptos" w:eastAsia="Calibri" w:hAnsi="Aptos" w:cs="Arial"/>
                <w:sz w:val="20"/>
                <w:szCs w:val="20"/>
              </w:rPr>
              <w:t xml:space="preserve">: </w:t>
            </w:r>
            <w:r w:rsidR="00384F88">
              <w:rPr>
                <w:rFonts w:ascii="Aptos" w:eastAsia="Calibri" w:hAnsi="Aptos" w:cs="Arial"/>
                <w:sz w:val="20"/>
                <w:szCs w:val="20"/>
              </w:rPr>
              <w:t>Massnahmenkatalog, Umsetzungsberichte mind. zweier Massnahmen</w:t>
            </w:r>
            <w:r w:rsidRPr="00384F88">
              <w:rPr>
                <w:rFonts w:ascii="Aptos" w:eastAsia="Calibri" w:hAnsi="Aptos" w:cs="Arial"/>
                <w:sz w:val="20"/>
                <w:szCs w:val="20"/>
              </w:rPr>
              <w:t>.</w:t>
            </w:r>
          </w:p>
        </w:tc>
      </w:tr>
      <w:tr w:rsidR="00384F88" w:rsidRPr="00384F88" w14:paraId="46A04750" w14:textId="77777777">
        <w:trPr>
          <w:trHeight w:val="392"/>
        </w:trPr>
        <w:tc>
          <w:tcPr>
            <w:tcW w:w="9354" w:type="dxa"/>
            <w:gridSpan w:val="3"/>
          </w:tcPr>
          <w:p w14:paraId="74143774" w14:textId="41C0E042" w:rsidR="007E32B6" w:rsidRPr="00384F88" w:rsidRDefault="0095488E">
            <w:pPr>
              <w:spacing w:before="60" w:after="60" w:line="276" w:lineRule="auto"/>
              <w:ind w:left="39"/>
              <w:rPr>
                <w:rFonts w:ascii="Aptos" w:hAnsi="Aptos" w:cs="Arial"/>
                <w:b/>
                <w:bCs/>
                <w:sz w:val="20"/>
                <w:szCs w:val="20"/>
              </w:rPr>
            </w:pPr>
            <w:r w:rsidRPr="00384F88">
              <w:rPr>
                <w:rFonts w:ascii="Aptos" w:eastAsia="Calibri" w:hAnsi="Aptos" w:cs="Arial"/>
                <w:b/>
                <w:sz w:val="20"/>
                <w:szCs w:val="20"/>
              </w:rPr>
              <w:t>Erfüllungskriterium</w:t>
            </w:r>
            <w:r w:rsidRPr="00384F88">
              <w:rPr>
                <w:rFonts w:ascii="Aptos" w:eastAsia="Calibri" w:hAnsi="Aptos" w:cs="Arial"/>
                <w:sz w:val="20"/>
                <w:szCs w:val="20"/>
              </w:rPr>
              <w:t xml:space="preserve">: </w:t>
            </w:r>
            <w:r w:rsidR="00384F88">
              <w:rPr>
                <w:rFonts w:ascii="Aptos" w:eastAsia="Calibri" w:hAnsi="Aptos" w:cs="Arial"/>
                <w:sz w:val="20"/>
                <w:szCs w:val="20"/>
              </w:rPr>
              <w:t>Abnahme der Dokumente durch das SGS-Management</w:t>
            </w:r>
            <w:r w:rsidRPr="00384F88">
              <w:rPr>
                <w:rFonts w:ascii="Aptos" w:eastAsia="Calibri" w:hAnsi="Aptos" w:cs="Arial"/>
                <w:sz w:val="20"/>
                <w:szCs w:val="20"/>
              </w:rPr>
              <w:t>.</w:t>
            </w:r>
          </w:p>
        </w:tc>
      </w:tr>
      <w:tr w:rsidR="00384F88" w:rsidRPr="00384F88" w14:paraId="667512FB" w14:textId="77777777" w:rsidTr="00B07016">
        <w:trPr>
          <w:trHeight w:val="392"/>
        </w:trPr>
        <w:tc>
          <w:tcPr>
            <w:tcW w:w="4677" w:type="dxa"/>
            <w:gridSpan w:val="2"/>
          </w:tcPr>
          <w:p w14:paraId="269CF47C" w14:textId="77777777" w:rsidR="00384F88" w:rsidRPr="00384F88" w:rsidRDefault="00384F88">
            <w:pPr>
              <w:spacing w:before="60" w:after="60" w:line="276" w:lineRule="auto"/>
              <w:ind w:left="39"/>
              <w:rPr>
                <w:rFonts w:ascii="Aptos" w:hAnsi="Aptos" w:cs="Arial"/>
                <w:sz w:val="20"/>
                <w:szCs w:val="20"/>
              </w:rPr>
            </w:pPr>
            <w:r w:rsidRPr="00384F88">
              <w:rPr>
                <w:rFonts w:ascii="Aptos" w:eastAsia="Calibri" w:hAnsi="Aptos" w:cs="Arial"/>
                <w:b/>
                <w:sz w:val="20"/>
                <w:szCs w:val="20"/>
              </w:rPr>
              <w:t>Zuständig seitens SGS</w:t>
            </w:r>
            <w:r w:rsidRPr="00384F88">
              <w:rPr>
                <w:rFonts w:ascii="Aptos" w:eastAsia="Calibri" w:hAnsi="Aptos" w:cs="Arial"/>
                <w:sz w:val="20"/>
                <w:szCs w:val="20"/>
              </w:rPr>
              <w:t>: Frank Gottsmann.</w:t>
            </w:r>
          </w:p>
        </w:tc>
        <w:tc>
          <w:tcPr>
            <w:tcW w:w="4677" w:type="dxa"/>
            <w:shd w:val="clear" w:color="auto" w:fill="DCEBE6"/>
          </w:tcPr>
          <w:p w14:paraId="0DDCB0BE" w14:textId="6A418DD9" w:rsidR="00384F88" w:rsidRPr="00384F88" w:rsidRDefault="00384F88">
            <w:pPr>
              <w:spacing w:before="60" w:after="60" w:line="276" w:lineRule="auto"/>
              <w:ind w:left="39"/>
              <w:rPr>
                <w:rFonts w:ascii="Aptos" w:hAnsi="Aptos" w:cs="Arial"/>
                <w:sz w:val="20"/>
                <w:szCs w:val="20"/>
              </w:rPr>
            </w:pPr>
            <w:r w:rsidRPr="00384F88">
              <w:rPr>
                <w:rFonts w:ascii="Aptos" w:hAnsi="Aptos" w:cs="Arial"/>
                <w:b/>
                <w:bCs/>
                <w:sz w:val="20"/>
                <w:szCs w:val="20"/>
              </w:rPr>
              <w:t>Kostenschätzung</w:t>
            </w:r>
            <w:r>
              <w:rPr>
                <w:rFonts w:ascii="Aptos" w:hAnsi="Aptos" w:cs="Arial"/>
                <w:sz w:val="20"/>
                <w:szCs w:val="20"/>
              </w:rPr>
              <w:t>: 30,000.— SFr.</w:t>
            </w:r>
          </w:p>
        </w:tc>
      </w:tr>
    </w:tbl>
    <w:p w14:paraId="34661C99" w14:textId="77777777" w:rsidR="007E32B6" w:rsidRPr="00384F88" w:rsidRDefault="007E32B6">
      <w:pPr>
        <w:rPr>
          <w:rFonts w:ascii="Aptos" w:hAnsi="Aptos"/>
        </w:rPr>
      </w:pPr>
    </w:p>
    <w:tbl>
      <w:tblPr>
        <w:tblStyle w:val="Tabellenraster"/>
        <w:tblW w:w="9354" w:type="dxa"/>
        <w:tblLayout w:type="fixed"/>
        <w:tblLook w:val="04A0" w:firstRow="1" w:lastRow="0" w:firstColumn="1" w:lastColumn="0" w:noHBand="0" w:noVBand="1"/>
      </w:tblPr>
      <w:tblGrid>
        <w:gridCol w:w="907"/>
        <w:gridCol w:w="3770"/>
        <w:gridCol w:w="4677"/>
      </w:tblGrid>
      <w:tr w:rsidR="00384F88" w:rsidRPr="00384F88" w14:paraId="334461D4" w14:textId="77777777" w:rsidTr="00E04FEA">
        <w:trPr>
          <w:trHeight w:val="719"/>
        </w:trPr>
        <w:tc>
          <w:tcPr>
            <w:tcW w:w="907" w:type="dxa"/>
            <w:shd w:val="clear" w:color="auto" w:fill="8CBBAD"/>
          </w:tcPr>
          <w:p w14:paraId="793BF55D" w14:textId="040F36A1" w:rsidR="00384F88" w:rsidRPr="00384F88" w:rsidRDefault="00384F88" w:rsidP="00E04FEA">
            <w:pPr>
              <w:spacing w:before="60" w:after="60" w:line="276" w:lineRule="auto"/>
              <w:jc w:val="center"/>
              <w:rPr>
                <w:rFonts w:ascii="Aptos" w:hAnsi="Aptos" w:cs="Arial"/>
                <w:bCs/>
              </w:rPr>
            </w:pPr>
            <w:r w:rsidRPr="00384F88">
              <w:rPr>
                <w:rFonts w:ascii="Aptos" w:eastAsia="Calibri" w:hAnsi="Aptos" w:cs="Arial"/>
                <w:b/>
                <w:color w:val="FFFFFF" w:themeColor="background1"/>
              </w:rPr>
              <w:t>6-26-</w:t>
            </w:r>
            <w:r>
              <w:rPr>
                <w:rFonts w:ascii="Aptos" w:eastAsia="Calibri" w:hAnsi="Aptos" w:cs="Arial"/>
                <w:b/>
                <w:color w:val="FFFFFF" w:themeColor="background1"/>
              </w:rPr>
              <w:t>2</w:t>
            </w:r>
          </w:p>
        </w:tc>
        <w:tc>
          <w:tcPr>
            <w:tcW w:w="8447" w:type="dxa"/>
            <w:gridSpan w:val="2"/>
            <w:shd w:val="clear" w:color="auto" w:fill="DCEBE6"/>
          </w:tcPr>
          <w:p w14:paraId="0C40F6AF" w14:textId="2D0ACECA" w:rsidR="00384F88" w:rsidRPr="00384F88" w:rsidRDefault="00384F88" w:rsidP="00E04FEA">
            <w:pPr>
              <w:spacing w:before="60" w:after="60" w:line="276" w:lineRule="auto"/>
              <w:ind w:left="39"/>
              <w:rPr>
                <w:rFonts w:ascii="Aptos" w:hAnsi="Aptos" w:cs="Arial"/>
              </w:rPr>
            </w:pPr>
            <w:r w:rsidRPr="00384F88">
              <w:rPr>
                <w:rFonts w:ascii="Aptos" w:hAnsi="Aptos" w:cs="Arial"/>
              </w:rPr>
              <w:t xml:space="preserve">Schaffung einer Übersicht über das Bildungsangebot und </w:t>
            </w:r>
            <w:r w:rsidRPr="00384F88">
              <w:rPr>
                <w:rFonts w:ascii="Aptos" w:hAnsi="Aptos" w:cs="Arial"/>
                <w:b/>
                <w:bCs/>
              </w:rPr>
              <w:t>Vernetzung der Bildungsakteure</w:t>
            </w:r>
            <w:r>
              <w:rPr>
                <w:rFonts w:ascii="Aptos" w:hAnsi="Aptos" w:cs="Arial"/>
                <w:b/>
                <w:bCs/>
              </w:rPr>
              <w:t xml:space="preserve"> auf einer zentralen Plattform</w:t>
            </w:r>
          </w:p>
        </w:tc>
      </w:tr>
      <w:tr w:rsidR="00384F88" w:rsidRPr="00384F88" w14:paraId="352CD1D8" w14:textId="77777777" w:rsidTr="00E04FEA">
        <w:trPr>
          <w:trHeight w:val="70"/>
        </w:trPr>
        <w:tc>
          <w:tcPr>
            <w:tcW w:w="9354" w:type="dxa"/>
            <w:gridSpan w:val="3"/>
          </w:tcPr>
          <w:p w14:paraId="6169DC14" w14:textId="578432AB" w:rsidR="00384F88" w:rsidRPr="00384F88" w:rsidRDefault="00384F88" w:rsidP="00E04FEA">
            <w:pPr>
              <w:spacing w:before="60" w:after="60" w:line="276" w:lineRule="auto"/>
              <w:ind w:left="39"/>
              <w:rPr>
                <w:rFonts w:ascii="Aptos" w:hAnsi="Aptos" w:cs="Arial"/>
                <w:bCs/>
                <w:sz w:val="20"/>
                <w:szCs w:val="20"/>
              </w:rPr>
            </w:pPr>
            <w:r w:rsidRPr="00384F88">
              <w:rPr>
                <w:rFonts w:ascii="Aptos" w:eastAsia="Calibri" w:hAnsi="Aptos" w:cs="Arial"/>
                <w:b/>
                <w:bCs/>
                <w:sz w:val="20"/>
                <w:szCs w:val="20"/>
              </w:rPr>
              <w:t>Bedarf, Vorgehen</w:t>
            </w:r>
            <w:r w:rsidRPr="00384F88">
              <w:rPr>
                <w:rFonts w:ascii="Aptos" w:eastAsia="Calibri" w:hAnsi="Aptos" w:cs="Arial"/>
                <w:bCs/>
                <w:sz w:val="20"/>
                <w:szCs w:val="20"/>
              </w:rPr>
              <w:t>:</w:t>
            </w:r>
            <w:r>
              <w:rPr>
                <w:rFonts w:ascii="Aptos" w:eastAsia="Calibri" w:hAnsi="Aptos" w:cs="Arial"/>
                <w:bCs/>
                <w:sz w:val="20"/>
                <w:szCs w:val="20"/>
              </w:rPr>
              <w:t xml:space="preserve"> Aufbauend auf frühere Übersichten und Auslegeordnungen erfolgt eine Aktualisierung</w:t>
            </w:r>
            <w:r w:rsidRPr="00384F88">
              <w:rPr>
                <w:rFonts w:ascii="Aptos" w:eastAsia="Calibri" w:hAnsi="Aptos" w:cs="Arial"/>
                <w:bCs/>
                <w:sz w:val="20"/>
                <w:szCs w:val="20"/>
              </w:rPr>
              <w:t xml:space="preserve">. </w:t>
            </w:r>
            <w:r>
              <w:rPr>
                <w:rFonts w:ascii="Aptos" w:eastAsia="Calibri" w:hAnsi="Aptos" w:cs="Arial"/>
                <w:bCs/>
                <w:sz w:val="20"/>
                <w:szCs w:val="20"/>
              </w:rPr>
              <w:t>Im Rahmen der Entwicklung von SWISSGEO soll das Plattformkonzept entwickelt und geklärt werden, wie die Integration in SWISSGEO erfolgen kann. Die regelmässige Aktualisierung der Inhalte wird definiert.</w:t>
            </w:r>
          </w:p>
        </w:tc>
      </w:tr>
      <w:tr w:rsidR="00384F88" w:rsidRPr="00384F88" w14:paraId="74678F7C" w14:textId="77777777" w:rsidTr="00E04FEA">
        <w:trPr>
          <w:trHeight w:val="70"/>
        </w:trPr>
        <w:tc>
          <w:tcPr>
            <w:tcW w:w="9354" w:type="dxa"/>
            <w:gridSpan w:val="3"/>
          </w:tcPr>
          <w:p w14:paraId="137B1880" w14:textId="0FEB194B" w:rsidR="00384F88" w:rsidRPr="00384F88" w:rsidRDefault="00384F88" w:rsidP="00E04FEA">
            <w:pPr>
              <w:spacing w:before="60" w:after="60" w:line="276" w:lineRule="auto"/>
              <w:ind w:left="39"/>
              <w:rPr>
                <w:rFonts w:ascii="Aptos" w:hAnsi="Aptos" w:cs="Arial"/>
                <w:bCs/>
                <w:sz w:val="20"/>
                <w:szCs w:val="20"/>
              </w:rPr>
            </w:pPr>
            <w:r w:rsidRPr="00384F88">
              <w:rPr>
                <w:rFonts w:ascii="Aptos" w:eastAsia="Calibri" w:hAnsi="Aptos" w:cs="Arial"/>
                <w:b/>
                <w:bCs/>
                <w:sz w:val="20"/>
                <w:szCs w:val="20"/>
              </w:rPr>
              <w:t>Abgrenzung</w:t>
            </w:r>
            <w:r w:rsidRPr="00384F88">
              <w:rPr>
                <w:rFonts w:ascii="Aptos" w:eastAsia="Calibri" w:hAnsi="Aptos" w:cs="Arial"/>
                <w:bCs/>
                <w:sz w:val="20"/>
                <w:szCs w:val="20"/>
              </w:rPr>
              <w:t xml:space="preserve">: </w:t>
            </w:r>
            <w:r>
              <w:rPr>
                <w:rFonts w:ascii="Aptos" w:eastAsia="Calibri" w:hAnsi="Aptos" w:cs="Arial"/>
                <w:bCs/>
                <w:sz w:val="20"/>
                <w:szCs w:val="20"/>
              </w:rPr>
              <w:t>Die Umsetzung dieser Aktion erfolgt in enger Koordination mit 7-26-1 SWISSGEO</w:t>
            </w:r>
            <w:r w:rsidRPr="00384F88">
              <w:rPr>
                <w:rFonts w:ascii="Aptos" w:eastAsia="Calibri" w:hAnsi="Aptos" w:cs="Arial"/>
                <w:bCs/>
                <w:sz w:val="20"/>
                <w:szCs w:val="20"/>
              </w:rPr>
              <w:t>.</w:t>
            </w:r>
          </w:p>
        </w:tc>
      </w:tr>
      <w:tr w:rsidR="00384F88" w:rsidRPr="00384F88" w14:paraId="2CDE1B9F" w14:textId="77777777" w:rsidTr="00E04FEA">
        <w:trPr>
          <w:trHeight w:val="392"/>
        </w:trPr>
        <w:tc>
          <w:tcPr>
            <w:tcW w:w="9354" w:type="dxa"/>
            <w:gridSpan w:val="3"/>
          </w:tcPr>
          <w:p w14:paraId="43F86F99" w14:textId="1B5D4F10" w:rsidR="00384F88" w:rsidRPr="00384F88" w:rsidRDefault="00384F88" w:rsidP="00E04FEA">
            <w:pPr>
              <w:spacing w:before="60" w:after="60" w:line="276" w:lineRule="auto"/>
              <w:ind w:left="39"/>
              <w:rPr>
                <w:rFonts w:ascii="Aptos" w:hAnsi="Aptos" w:cs="Arial"/>
                <w:bCs/>
                <w:color w:val="000000" w:themeColor="text1"/>
                <w:sz w:val="20"/>
                <w:szCs w:val="20"/>
              </w:rPr>
            </w:pPr>
            <w:r w:rsidRPr="00384F88">
              <w:rPr>
                <w:rFonts w:ascii="Aptos" w:eastAsia="Calibri" w:hAnsi="Aptos" w:cs="Arial"/>
                <w:b/>
                <w:sz w:val="20"/>
                <w:szCs w:val="20"/>
              </w:rPr>
              <w:t>Lieferobjekte</w:t>
            </w:r>
            <w:r w:rsidRPr="00384F88">
              <w:rPr>
                <w:rFonts w:ascii="Aptos" w:eastAsia="Calibri" w:hAnsi="Aptos" w:cs="Arial"/>
                <w:sz w:val="20"/>
                <w:szCs w:val="20"/>
              </w:rPr>
              <w:t>:</w:t>
            </w:r>
            <w:r>
              <w:rPr>
                <w:rFonts w:ascii="Aptos" w:eastAsia="Calibri" w:hAnsi="Aptos" w:cs="Arial"/>
                <w:sz w:val="20"/>
                <w:szCs w:val="20"/>
              </w:rPr>
              <w:t xml:space="preserve"> Plattform-Konzept inklusive Datenaktualisierung; Prototyp</w:t>
            </w:r>
            <w:r w:rsidRPr="00384F88">
              <w:rPr>
                <w:rFonts w:ascii="Aptos" w:eastAsia="Calibri" w:hAnsi="Aptos" w:cs="Arial"/>
                <w:sz w:val="20"/>
                <w:szCs w:val="20"/>
              </w:rPr>
              <w:t>.</w:t>
            </w:r>
          </w:p>
        </w:tc>
      </w:tr>
      <w:tr w:rsidR="00384F88" w:rsidRPr="00384F88" w14:paraId="40B3A5EC" w14:textId="77777777" w:rsidTr="00E04FEA">
        <w:trPr>
          <w:trHeight w:val="392"/>
        </w:trPr>
        <w:tc>
          <w:tcPr>
            <w:tcW w:w="9354" w:type="dxa"/>
            <w:gridSpan w:val="3"/>
          </w:tcPr>
          <w:p w14:paraId="5FD670D6" w14:textId="50870B55" w:rsidR="00384F88" w:rsidRPr="00384F88" w:rsidRDefault="00384F88" w:rsidP="00E04FEA">
            <w:pPr>
              <w:spacing w:before="60" w:after="60" w:line="276" w:lineRule="auto"/>
              <w:ind w:left="39"/>
              <w:rPr>
                <w:rFonts w:ascii="Aptos" w:hAnsi="Aptos" w:cs="Arial"/>
                <w:b/>
                <w:bCs/>
                <w:sz w:val="20"/>
                <w:szCs w:val="20"/>
              </w:rPr>
            </w:pPr>
            <w:r w:rsidRPr="00384F88">
              <w:rPr>
                <w:rFonts w:ascii="Aptos" w:eastAsia="Calibri" w:hAnsi="Aptos" w:cs="Arial"/>
                <w:b/>
                <w:sz w:val="20"/>
                <w:szCs w:val="20"/>
              </w:rPr>
              <w:t>Erfüllungskriterium</w:t>
            </w:r>
            <w:r w:rsidRPr="00384F88">
              <w:rPr>
                <w:rFonts w:ascii="Aptos" w:eastAsia="Calibri" w:hAnsi="Aptos" w:cs="Arial"/>
                <w:sz w:val="20"/>
                <w:szCs w:val="20"/>
              </w:rPr>
              <w:t>:</w:t>
            </w:r>
            <w:r>
              <w:rPr>
                <w:rFonts w:ascii="Aptos" w:eastAsia="Calibri" w:hAnsi="Aptos" w:cs="Arial"/>
                <w:sz w:val="20"/>
                <w:szCs w:val="20"/>
              </w:rPr>
              <w:t xml:space="preserve"> Abnahme des Konzepts, Prototyp in Betrieb</w:t>
            </w:r>
            <w:r w:rsidRPr="00384F88">
              <w:rPr>
                <w:rFonts w:ascii="Aptos" w:eastAsia="Calibri" w:hAnsi="Aptos" w:cs="Arial"/>
                <w:sz w:val="20"/>
                <w:szCs w:val="20"/>
              </w:rPr>
              <w:t>.</w:t>
            </w:r>
          </w:p>
        </w:tc>
      </w:tr>
      <w:tr w:rsidR="00384F88" w:rsidRPr="0035640D" w14:paraId="2BD6CAC6" w14:textId="77777777" w:rsidTr="00B07016">
        <w:trPr>
          <w:trHeight w:val="392"/>
        </w:trPr>
        <w:tc>
          <w:tcPr>
            <w:tcW w:w="4677" w:type="dxa"/>
            <w:gridSpan w:val="2"/>
          </w:tcPr>
          <w:p w14:paraId="69E3BDB5" w14:textId="2340C19E" w:rsidR="00384F88" w:rsidRPr="0035640D" w:rsidRDefault="00384F88" w:rsidP="00E04FEA">
            <w:pPr>
              <w:spacing w:before="60" w:after="60" w:line="276" w:lineRule="auto"/>
              <w:ind w:left="39"/>
              <w:rPr>
                <w:rFonts w:ascii="Aptos" w:hAnsi="Aptos" w:cs="Arial"/>
                <w:color w:val="000000" w:themeColor="text1"/>
                <w:sz w:val="20"/>
                <w:szCs w:val="20"/>
              </w:rPr>
            </w:pPr>
            <w:r w:rsidRPr="00384F88">
              <w:rPr>
                <w:rFonts w:ascii="Aptos" w:eastAsia="Calibri" w:hAnsi="Aptos" w:cs="Arial"/>
                <w:b/>
                <w:color w:val="000000" w:themeColor="text1"/>
                <w:sz w:val="20"/>
                <w:szCs w:val="20"/>
              </w:rPr>
              <w:t>Zuständig seitens SGS</w:t>
            </w:r>
            <w:r w:rsidRPr="00384F88">
              <w:rPr>
                <w:rFonts w:ascii="Aptos" w:eastAsia="Calibri" w:hAnsi="Aptos" w:cs="Arial"/>
                <w:color w:val="000000" w:themeColor="text1"/>
                <w:sz w:val="20"/>
                <w:szCs w:val="20"/>
              </w:rPr>
              <w:t xml:space="preserve">: </w:t>
            </w:r>
            <w:r>
              <w:rPr>
                <w:rFonts w:ascii="Aptos" w:eastAsia="Calibri" w:hAnsi="Aptos" w:cs="Arial"/>
                <w:color w:val="000000" w:themeColor="text1"/>
                <w:sz w:val="20"/>
                <w:szCs w:val="20"/>
              </w:rPr>
              <w:t>Christian Sailer (ext.).</w:t>
            </w:r>
          </w:p>
        </w:tc>
        <w:tc>
          <w:tcPr>
            <w:tcW w:w="4677" w:type="dxa"/>
            <w:shd w:val="clear" w:color="auto" w:fill="DCEBE6"/>
          </w:tcPr>
          <w:p w14:paraId="46F122F4" w14:textId="2F67D5BA" w:rsidR="00384F88" w:rsidRPr="0035640D" w:rsidRDefault="00384F88" w:rsidP="00E04FEA">
            <w:pPr>
              <w:spacing w:before="60" w:after="60" w:line="276" w:lineRule="auto"/>
              <w:ind w:left="39"/>
              <w:rPr>
                <w:rFonts w:ascii="Aptos" w:hAnsi="Aptos" w:cs="Arial"/>
                <w:color w:val="000000" w:themeColor="text1"/>
                <w:sz w:val="20"/>
                <w:szCs w:val="20"/>
              </w:rPr>
            </w:pPr>
            <w:r w:rsidRPr="00384F88">
              <w:rPr>
                <w:rFonts w:ascii="Aptos" w:hAnsi="Aptos" w:cs="Arial"/>
                <w:b/>
                <w:bCs/>
                <w:color w:val="000000" w:themeColor="text1"/>
                <w:sz w:val="20"/>
                <w:szCs w:val="20"/>
              </w:rPr>
              <w:t>Kostenschätzung</w:t>
            </w:r>
            <w:r>
              <w:rPr>
                <w:rFonts w:ascii="Aptos" w:hAnsi="Aptos" w:cs="Arial"/>
                <w:color w:val="000000" w:themeColor="text1"/>
                <w:sz w:val="20"/>
                <w:szCs w:val="20"/>
              </w:rPr>
              <w:t>: 20,000.— SFr.</w:t>
            </w:r>
          </w:p>
        </w:tc>
      </w:tr>
    </w:tbl>
    <w:p w14:paraId="2DCEFFE6" w14:textId="77777777" w:rsidR="00384F88" w:rsidRPr="0035640D" w:rsidRDefault="00384F88">
      <w:pPr>
        <w:rPr>
          <w:rFonts w:ascii="Aptos" w:hAnsi="Aptos"/>
        </w:rPr>
      </w:pPr>
    </w:p>
    <w:p w14:paraId="4C63E542" w14:textId="77777777" w:rsidR="007E32B6" w:rsidRPr="0035640D" w:rsidRDefault="0095488E">
      <w:pPr>
        <w:spacing w:line="276" w:lineRule="auto"/>
        <w:rPr>
          <w:rFonts w:ascii="Aptos" w:hAnsi="Aptos" w:cs="Arial"/>
          <w:b/>
          <w:bCs/>
        </w:rPr>
      </w:pPr>
      <w:r w:rsidRPr="0035640D">
        <w:rPr>
          <w:rFonts w:ascii="Aptos" w:hAnsi="Aptos" w:cs="Arial"/>
          <w:b/>
          <w:bCs/>
        </w:rPr>
        <w:t>BETRIEB</w:t>
      </w:r>
    </w:p>
    <w:p w14:paraId="2F5F005A"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b/>
          <w:bCs/>
        </w:rPr>
        <w:t>Pflege der Aus- und Weiterbildung</w:t>
      </w:r>
      <w:r w:rsidRPr="0035640D">
        <w:rPr>
          <w:rFonts w:ascii="Aptos" w:hAnsi="Aptos" w:cs="Arial"/>
        </w:rPr>
        <w:t xml:space="preserve"> im Austausch mit Bildungsinstitutionen und Fachorganisationen (Mandat), Durchführung von Veranstaltungen.</w:t>
      </w:r>
    </w:p>
    <w:p w14:paraId="101B4582" w14:textId="77777777" w:rsidR="002568FB" w:rsidRDefault="002568FB">
      <w:pPr>
        <w:suppressAutoHyphens/>
        <w:spacing w:after="0" w:line="240" w:lineRule="auto"/>
        <w:rPr>
          <w:rFonts w:ascii="Aptos" w:hAnsi="Aptos" w:cs="Arial"/>
          <w:color w:val="D66A3A"/>
          <w:sz w:val="28"/>
          <w:szCs w:val="28"/>
        </w:rPr>
      </w:pPr>
      <w:bookmarkStart w:id="31" w:name="_Toc211502019"/>
      <w:r>
        <w:rPr>
          <w:rFonts w:ascii="Aptos" w:hAnsi="Aptos"/>
        </w:rPr>
        <w:br w:type="page"/>
      </w:r>
    </w:p>
    <w:p w14:paraId="2CFA2663" w14:textId="14E77FB7" w:rsidR="007E32B6" w:rsidRPr="0035640D" w:rsidRDefault="0095488E">
      <w:pPr>
        <w:pStyle w:val="berschrift3"/>
        <w:rPr>
          <w:rFonts w:ascii="Aptos" w:hAnsi="Aptos"/>
          <w:b/>
        </w:rPr>
      </w:pPr>
      <w:r w:rsidRPr="0035640D">
        <w:rPr>
          <w:rFonts w:ascii="Aptos" w:hAnsi="Aptos"/>
        </w:rPr>
        <w:lastRenderedPageBreak/>
        <w:t xml:space="preserve">Aktionsfeld 7: </w:t>
      </w:r>
      <w:r w:rsidRPr="0035640D">
        <w:rPr>
          <w:rFonts w:ascii="Aptos" w:hAnsi="Aptos"/>
          <w:b/>
        </w:rPr>
        <w:t>Digitale Plattformen weiterentwickeln</w:t>
      </w:r>
      <w:bookmarkEnd w:id="31"/>
    </w:p>
    <w:tbl>
      <w:tblPr>
        <w:tblStyle w:val="Tabellenraster"/>
        <w:tblW w:w="9354" w:type="dxa"/>
        <w:tblLayout w:type="fixed"/>
        <w:tblLook w:val="04A0" w:firstRow="1" w:lastRow="0" w:firstColumn="1" w:lastColumn="0" w:noHBand="0" w:noVBand="1"/>
      </w:tblPr>
      <w:tblGrid>
        <w:gridCol w:w="907"/>
        <w:gridCol w:w="3770"/>
        <w:gridCol w:w="4677"/>
      </w:tblGrid>
      <w:tr w:rsidR="007E32B6" w:rsidRPr="0035640D" w14:paraId="0027B09B" w14:textId="77777777">
        <w:trPr>
          <w:trHeight w:val="719"/>
        </w:trPr>
        <w:tc>
          <w:tcPr>
            <w:tcW w:w="907" w:type="dxa"/>
            <w:shd w:val="clear" w:color="auto" w:fill="8CBBAD"/>
          </w:tcPr>
          <w:p w14:paraId="139F7D22" w14:textId="77777777" w:rsidR="007E32B6" w:rsidRPr="0035640D" w:rsidRDefault="0095488E">
            <w:pPr>
              <w:spacing w:before="60" w:after="60" w:line="276" w:lineRule="auto"/>
              <w:jc w:val="center"/>
              <w:rPr>
                <w:rFonts w:ascii="Aptos" w:hAnsi="Aptos" w:cs="Arial"/>
                <w:bCs/>
                <w:color w:val="FFFFFF" w:themeColor="background1"/>
              </w:rPr>
            </w:pPr>
            <w:r w:rsidRPr="0035640D">
              <w:rPr>
                <w:rFonts w:ascii="Aptos" w:eastAsia="Calibri" w:hAnsi="Aptos" w:cs="Arial"/>
                <w:b/>
                <w:color w:val="FFFFFF" w:themeColor="background1"/>
              </w:rPr>
              <w:t>7-26-1</w:t>
            </w:r>
          </w:p>
        </w:tc>
        <w:tc>
          <w:tcPr>
            <w:tcW w:w="8447" w:type="dxa"/>
            <w:gridSpan w:val="2"/>
            <w:shd w:val="clear" w:color="auto" w:fill="DCEBE6"/>
          </w:tcPr>
          <w:p w14:paraId="68903AAB" w14:textId="77777777" w:rsidR="007E32B6" w:rsidRPr="0035640D" w:rsidRDefault="0095488E">
            <w:pPr>
              <w:spacing w:before="60" w:after="60" w:line="276" w:lineRule="auto"/>
              <w:ind w:left="39"/>
              <w:rPr>
                <w:rFonts w:ascii="Aptos" w:hAnsi="Aptos" w:cs="Arial"/>
              </w:rPr>
            </w:pPr>
            <w:r w:rsidRPr="0035640D">
              <w:rPr>
                <w:rFonts w:ascii="Aptos" w:eastAsia="Calibri" w:hAnsi="Aptos" w:cs="Arial"/>
                <w:b/>
                <w:bCs/>
              </w:rPr>
              <w:t>Aufbau und Betrieb SWISSGEO</w:t>
            </w:r>
          </w:p>
        </w:tc>
      </w:tr>
      <w:tr w:rsidR="007E32B6" w:rsidRPr="0035640D" w14:paraId="25DBCD76" w14:textId="77777777">
        <w:trPr>
          <w:trHeight w:val="70"/>
        </w:trPr>
        <w:tc>
          <w:tcPr>
            <w:tcW w:w="9354" w:type="dxa"/>
            <w:gridSpan w:val="3"/>
          </w:tcPr>
          <w:p w14:paraId="0DAECECD" w14:textId="77777777" w:rsidR="007E32B6" w:rsidRPr="0035640D" w:rsidRDefault="0095488E" w:rsidP="0035640D">
            <w:pPr>
              <w:spacing w:before="60" w:after="60" w:line="276" w:lineRule="auto"/>
              <w:ind w:left="40"/>
              <w:rPr>
                <w:rFonts w:ascii="Aptos" w:hAnsi="Aptos" w:cs="Arial"/>
                <w:sz w:val="20"/>
                <w:szCs w:val="20"/>
              </w:rPr>
            </w:pPr>
            <w:r w:rsidRPr="0035640D">
              <w:rPr>
                <w:rFonts w:ascii="Aptos" w:eastAsia="Calibri" w:hAnsi="Aptos" w:cs="Arial"/>
                <w:b/>
                <w:bCs/>
                <w:sz w:val="20"/>
                <w:szCs w:val="20"/>
              </w:rPr>
              <w:t>Bedarf, Vorgehen</w:t>
            </w:r>
            <w:r w:rsidRPr="0035640D">
              <w:rPr>
                <w:rFonts w:ascii="Aptos" w:eastAsia="Calibri" w:hAnsi="Aptos" w:cs="Arial"/>
                <w:bCs/>
                <w:sz w:val="20"/>
                <w:szCs w:val="20"/>
              </w:rPr>
              <w:t xml:space="preserve">: </w:t>
            </w:r>
            <w:r w:rsidRPr="0035640D">
              <w:rPr>
                <w:rFonts w:ascii="Aptos" w:eastAsia="Calibri" w:hAnsi="Aptos" w:cs="Arial"/>
                <w:sz w:val="20"/>
                <w:szCs w:val="20"/>
              </w:rPr>
              <w:t>Das Zielbild und die Produktbeschreibung der Geoplattform Schweiz wurden im Jahr 2024 erarbeitet. Auf dieser Grundlage entstand 2025 ein Prototyp, der publiziert und getestet wurde.</w:t>
            </w:r>
          </w:p>
          <w:p w14:paraId="06405390" w14:textId="77777777" w:rsidR="007E32B6" w:rsidRPr="0035640D" w:rsidRDefault="0095488E" w:rsidP="0035640D">
            <w:pPr>
              <w:spacing w:before="60" w:after="60" w:line="276" w:lineRule="auto"/>
              <w:ind w:left="40"/>
              <w:rPr>
                <w:rFonts w:ascii="Aptos" w:hAnsi="Aptos"/>
                <w:sz w:val="20"/>
                <w:szCs w:val="20"/>
              </w:rPr>
            </w:pPr>
            <w:r w:rsidRPr="0035640D">
              <w:rPr>
                <w:rFonts w:ascii="Aptos" w:eastAsia="Calibri" w:hAnsi="Aptos" w:cs="Arial"/>
                <w:sz w:val="20"/>
                <w:szCs w:val="20"/>
              </w:rPr>
              <w:t xml:space="preserve">Die heutigen Kernsysteme geocat.ch, geodienste.ch und geo.admin.ch gehen mittelfristig inhaltlich wie funktional in SWISSGEO auf und werden darin integriert. Durch die Integration bestehender Systeme entsteht ein </w:t>
            </w:r>
            <w:r w:rsidRPr="0035640D">
              <w:rPr>
                <w:rFonts w:ascii="Aptos" w:eastAsia="Calibri" w:hAnsi="Aptos" w:cs="Arial"/>
                <w:b/>
                <w:bCs/>
                <w:sz w:val="20"/>
                <w:szCs w:val="20"/>
              </w:rPr>
              <w:t xml:space="preserve">konsolidiertes Gesamtangebot </w:t>
            </w:r>
            <w:r w:rsidRPr="0035640D">
              <w:rPr>
                <w:rFonts w:ascii="Aptos" w:eastAsia="Calibri" w:hAnsi="Aptos" w:cs="Arial"/>
                <w:sz w:val="20"/>
                <w:szCs w:val="20"/>
              </w:rPr>
              <w:t>mit zusätzlichem Mehrwert für Verwaltung, Wirtschaft und Öffentlichkeit.</w:t>
            </w:r>
          </w:p>
          <w:p w14:paraId="6CD268EC" w14:textId="77777777" w:rsidR="007E32B6" w:rsidRPr="0035640D" w:rsidRDefault="0095488E" w:rsidP="0035640D">
            <w:pPr>
              <w:spacing w:before="60" w:after="60" w:line="276" w:lineRule="auto"/>
              <w:ind w:left="40"/>
              <w:rPr>
                <w:rFonts w:ascii="Aptos" w:hAnsi="Aptos"/>
                <w:sz w:val="20"/>
                <w:szCs w:val="20"/>
              </w:rPr>
            </w:pPr>
            <w:r w:rsidRPr="0035640D">
              <w:rPr>
                <w:rFonts w:ascii="Aptos" w:eastAsia="Calibri" w:hAnsi="Aptos" w:cs="Arial"/>
                <w:sz w:val="20"/>
                <w:szCs w:val="20"/>
              </w:rPr>
              <w:t xml:space="preserve">Im Jahr 2026 wird die </w:t>
            </w:r>
            <w:r w:rsidRPr="0035640D">
              <w:rPr>
                <w:rFonts w:ascii="Aptos" w:eastAsia="Calibri" w:hAnsi="Aptos" w:cs="Arial"/>
                <w:b/>
                <w:bCs/>
                <w:sz w:val="20"/>
                <w:szCs w:val="20"/>
              </w:rPr>
              <w:t>Version 1.0</w:t>
            </w:r>
            <w:r w:rsidRPr="0035640D">
              <w:rPr>
                <w:rFonts w:ascii="Aptos" w:eastAsia="Calibri" w:hAnsi="Aptos" w:cs="Arial"/>
                <w:sz w:val="20"/>
                <w:szCs w:val="20"/>
              </w:rPr>
              <w:t xml:space="preserve"> der Geoplattform Schweiz </w:t>
            </w:r>
            <w:r w:rsidRPr="0035640D">
              <w:rPr>
                <w:rFonts w:ascii="Aptos" w:eastAsia="Calibri" w:hAnsi="Aptos" w:cs="Arial"/>
                <w:b/>
                <w:bCs/>
                <w:sz w:val="20"/>
                <w:szCs w:val="20"/>
              </w:rPr>
              <w:t>SWISSGEO</w:t>
            </w:r>
            <w:r w:rsidRPr="0035640D">
              <w:rPr>
                <w:rFonts w:ascii="Aptos" w:eastAsia="Calibri" w:hAnsi="Aptos" w:cs="Arial"/>
                <w:sz w:val="20"/>
                <w:szCs w:val="20"/>
              </w:rPr>
              <w:t xml:space="preserve"> in Betrieb genommen und anschliessend schrittweise ausgebaut. Zielpublikum sind Bürger und Bürgerin sowie Fachleute mit grossem Interesse an Geoinformation. In der Web-Anwendung werden die offenen Geodaten von geoadmin.ch und geodienste.ch gefunden, angeschaut und genutzt. Für die Anwendung werden modularisierte Komponenten von geo.admin.ch wiederverwendet. Die Inhalte auf SWISSGEO müssen hohen Standards hinsichtlich der Datenqualität entsprechen. Unter </w:t>
            </w:r>
            <w:hyperlink r:id="rId10">
              <w:r w:rsidRPr="0035640D">
                <w:rPr>
                  <w:rStyle w:val="Hyperlink"/>
                  <w:rFonts w:ascii="Aptos" w:eastAsia="Calibri" w:hAnsi="Aptos" w:cs="Arial"/>
                  <w:color w:val="auto"/>
                  <w:sz w:val="20"/>
                  <w:szCs w:val="20"/>
                </w:rPr>
                <w:t>www.swissgeo.ch/info/</w:t>
              </w:r>
            </w:hyperlink>
            <w:r w:rsidRPr="0035640D">
              <w:rPr>
                <w:rFonts w:ascii="Aptos" w:eastAsia="Calibri" w:hAnsi="Aptos" w:cs="Arial"/>
                <w:sz w:val="20"/>
                <w:szCs w:val="20"/>
              </w:rPr>
              <w:t xml:space="preserve"> sind Informationen zu SWISSGEO, geostandards.ch, geoinformation.ch und weitere Informationen von geocat.ch, geo.admin.ch und geodienste.ch vereint publiziert. Ab dem Zeitpunkt des Go-live wird map.geo.admin.ch ohne weitere funktionale Änderungen aufrechterhalten.  Geocat.ch und geodienste.ch werden weiterbetrieben.</w:t>
            </w:r>
          </w:p>
          <w:p w14:paraId="5F101F2C" w14:textId="77777777" w:rsidR="007E32B6" w:rsidRPr="0035640D" w:rsidRDefault="0095488E" w:rsidP="0035640D">
            <w:pPr>
              <w:spacing w:before="60" w:after="60" w:line="276" w:lineRule="auto"/>
              <w:ind w:left="40"/>
              <w:rPr>
                <w:rFonts w:ascii="Aptos" w:hAnsi="Aptos" w:cs="Arial"/>
                <w:bCs/>
                <w:sz w:val="20"/>
                <w:szCs w:val="20"/>
              </w:rPr>
            </w:pPr>
            <w:r w:rsidRPr="0035640D">
              <w:rPr>
                <w:rFonts w:ascii="Aptos" w:eastAsia="Calibri" w:hAnsi="Aptos" w:cs="Arial"/>
                <w:bCs/>
                <w:sz w:val="20"/>
                <w:szCs w:val="20"/>
              </w:rPr>
              <w:t xml:space="preserve">Um ein nutzerorientiertes, mit Partnern abgestimmtes und bezüglich Umsetzung realistisches Vorgehen sicherzustellen, werden die strategischen Entwicklungsschritte in einer </w:t>
            </w:r>
            <w:r w:rsidRPr="0035640D">
              <w:rPr>
                <w:rFonts w:ascii="Aptos" w:eastAsia="Calibri" w:hAnsi="Aptos" w:cs="Arial"/>
                <w:b/>
                <w:sz w:val="20"/>
                <w:szCs w:val="20"/>
              </w:rPr>
              <w:t>Produkt-Roadmap</w:t>
            </w:r>
            <w:r w:rsidRPr="0035640D">
              <w:rPr>
                <w:rFonts w:ascii="Aptos" w:eastAsia="Calibri" w:hAnsi="Aptos" w:cs="Arial"/>
                <w:bCs/>
                <w:sz w:val="20"/>
                <w:szCs w:val="20"/>
              </w:rPr>
              <w:t xml:space="preserve"> aufgezeigt.  Sie zeigt aus Sicht der Nutzer und Nutzerinnen die wichtigsten Schritte der Inhaltsentwicklung (Datensätze, Themen), der verfügbaren Hauptfunktionen inkl. relevanter Neuentwicklungen (z.B. KI-gestützte Suche), Organisationsentwicklung.</w:t>
            </w:r>
          </w:p>
          <w:p w14:paraId="0888CD8E" w14:textId="77777777" w:rsidR="007E32B6" w:rsidRPr="0035640D" w:rsidRDefault="0095488E" w:rsidP="0035640D">
            <w:pPr>
              <w:spacing w:before="60" w:after="60" w:line="276" w:lineRule="auto"/>
              <w:ind w:left="40"/>
              <w:rPr>
                <w:rFonts w:ascii="Aptos" w:hAnsi="Aptos" w:cs="Arial"/>
                <w:bCs/>
                <w:sz w:val="20"/>
                <w:szCs w:val="20"/>
              </w:rPr>
            </w:pPr>
            <w:r w:rsidRPr="0035640D">
              <w:rPr>
                <w:rFonts w:ascii="Aptos" w:eastAsia="Calibri" w:hAnsi="Aptos" w:cs="Arial"/>
                <w:bCs/>
                <w:sz w:val="20"/>
                <w:szCs w:val="20"/>
              </w:rPr>
              <w:t xml:space="preserve">Als Realisierungsgrundlage ist ein </w:t>
            </w:r>
            <w:r w:rsidRPr="0035640D">
              <w:rPr>
                <w:rFonts w:ascii="Aptos" w:eastAsia="Calibri" w:hAnsi="Aptos" w:cs="Arial"/>
                <w:b/>
                <w:sz w:val="20"/>
                <w:szCs w:val="20"/>
              </w:rPr>
              <w:t>Transitionsplan</w:t>
            </w:r>
            <w:r w:rsidRPr="0035640D">
              <w:rPr>
                <w:rFonts w:ascii="Aptos" w:eastAsia="Calibri" w:hAnsi="Aptos" w:cs="Arial"/>
                <w:bCs/>
                <w:sz w:val="20"/>
                <w:szCs w:val="20"/>
              </w:rPr>
              <w:t xml:space="preserve"> mit zeitgemässer Architekturvision erstellt. Die Umsetzung erfolgt mit den «</w:t>
            </w:r>
            <w:proofErr w:type="spellStart"/>
            <w:r w:rsidRPr="0035640D">
              <w:rPr>
                <w:rFonts w:ascii="Aptos" w:eastAsia="Calibri" w:hAnsi="Aptos" w:cs="Arial"/>
                <w:bCs/>
                <w:sz w:val="20"/>
                <w:szCs w:val="20"/>
              </w:rPr>
              <w:t>DevOps</w:t>
            </w:r>
            <w:proofErr w:type="spellEnd"/>
            <w:r w:rsidRPr="0035640D">
              <w:rPr>
                <w:rFonts w:ascii="Aptos" w:eastAsia="Calibri" w:hAnsi="Aptos" w:cs="Arial"/>
                <w:bCs/>
                <w:sz w:val="20"/>
                <w:szCs w:val="20"/>
              </w:rPr>
              <w:t>» Teams. Zu Testzwecken können weitere</w:t>
            </w:r>
            <w:r w:rsidRPr="0035640D">
              <w:rPr>
                <w:rFonts w:ascii="Aptos" w:eastAsia="Calibri" w:hAnsi="Aptos" w:cs="Arial"/>
                <w:b/>
                <w:sz w:val="20"/>
                <w:szCs w:val="20"/>
              </w:rPr>
              <w:t xml:space="preserve"> Prototypen</w:t>
            </w:r>
            <w:r w:rsidRPr="0035640D">
              <w:rPr>
                <w:rFonts w:ascii="Aptos" w:eastAsia="Calibri" w:hAnsi="Aptos" w:cs="Arial"/>
                <w:bCs/>
                <w:sz w:val="20"/>
                <w:szCs w:val="20"/>
              </w:rPr>
              <w:t xml:space="preserve"> und Untersuchungen umgesetzt bzw. erstellt werden.</w:t>
            </w:r>
          </w:p>
          <w:p w14:paraId="034269A7" w14:textId="77777777" w:rsidR="007E32B6" w:rsidRPr="0035640D" w:rsidRDefault="0095488E" w:rsidP="0035640D">
            <w:pPr>
              <w:spacing w:before="60" w:after="60" w:line="276" w:lineRule="auto"/>
              <w:ind w:left="40"/>
              <w:rPr>
                <w:rFonts w:ascii="Aptos" w:hAnsi="Aptos" w:cs="Arial"/>
                <w:sz w:val="20"/>
                <w:szCs w:val="20"/>
              </w:rPr>
            </w:pPr>
            <w:r w:rsidRPr="0035640D">
              <w:rPr>
                <w:rFonts w:ascii="Aptos" w:eastAsia="Calibri" w:hAnsi="Aptos" w:cs="Arial"/>
                <w:sz w:val="20"/>
                <w:szCs w:val="20"/>
              </w:rPr>
              <w:t>Ein agiles Vorgehen mit aktivem Stakeholdermanagement, ein abgestimmtes Marketing und eine Kommunikation über geeignete Kanäle gewährleistet Nutzerorientierung, Transparenz und eine erfolgreiche Transition.</w:t>
            </w:r>
          </w:p>
        </w:tc>
      </w:tr>
      <w:tr w:rsidR="007E32B6" w:rsidRPr="0035640D" w14:paraId="6FE68ABA" w14:textId="77777777">
        <w:trPr>
          <w:trHeight w:val="70"/>
        </w:trPr>
        <w:tc>
          <w:tcPr>
            <w:tcW w:w="9354" w:type="dxa"/>
            <w:gridSpan w:val="3"/>
          </w:tcPr>
          <w:p w14:paraId="7C65FEA2" w14:textId="3831FF5E" w:rsidR="007E32B6" w:rsidRPr="0035640D" w:rsidRDefault="0095488E">
            <w:pPr>
              <w:spacing w:before="60" w:after="60" w:line="276" w:lineRule="auto"/>
              <w:ind w:left="39"/>
              <w:rPr>
                <w:rFonts w:ascii="Aptos" w:hAnsi="Aptos" w:cs="Arial"/>
                <w:bCs/>
                <w:color w:val="000000" w:themeColor="text1"/>
                <w:sz w:val="20"/>
                <w:szCs w:val="20"/>
              </w:rPr>
            </w:pPr>
            <w:r w:rsidRPr="0035640D">
              <w:rPr>
                <w:rFonts w:ascii="Aptos" w:eastAsia="Calibri" w:hAnsi="Aptos" w:cs="Arial"/>
                <w:b/>
                <w:bCs/>
                <w:color w:val="000000" w:themeColor="text1"/>
                <w:sz w:val="20"/>
                <w:szCs w:val="20"/>
              </w:rPr>
              <w:t>Abgrenzung</w:t>
            </w:r>
            <w:r w:rsidRPr="0035640D">
              <w:rPr>
                <w:rFonts w:ascii="Aptos" w:eastAsia="Calibri" w:hAnsi="Aptos" w:cs="Arial"/>
                <w:bCs/>
                <w:color w:val="000000" w:themeColor="text1"/>
                <w:sz w:val="20"/>
                <w:szCs w:val="20"/>
              </w:rPr>
              <w:t>: Weiterführung der Aktion 7-24-1</w:t>
            </w:r>
            <w:r w:rsidR="00F15F67">
              <w:rPr>
                <w:rFonts w:ascii="Aptos" w:eastAsia="Calibri" w:hAnsi="Aptos" w:cs="Arial"/>
                <w:bCs/>
                <w:color w:val="000000" w:themeColor="text1"/>
                <w:sz w:val="20"/>
                <w:szCs w:val="20"/>
              </w:rPr>
              <w:t xml:space="preserve"> wie vorgesehen</w:t>
            </w:r>
            <w:r w:rsidRPr="0035640D">
              <w:rPr>
                <w:rFonts w:ascii="Aptos" w:eastAsia="Calibri" w:hAnsi="Aptos" w:cs="Arial"/>
                <w:bCs/>
                <w:color w:val="000000" w:themeColor="text1"/>
                <w:sz w:val="20"/>
                <w:szCs w:val="20"/>
              </w:rPr>
              <w:t>.</w:t>
            </w:r>
          </w:p>
        </w:tc>
      </w:tr>
      <w:tr w:rsidR="007E32B6" w:rsidRPr="0035640D" w14:paraId="10E7D055" w14:textId="77777777">
        <w:trPr>
          <w:trHeight w:val="392"/>
        </w:trPr>
        <w:tc>
          <w:tcPr>
            <w:tcW w:w="9354" w:type="dxa"/>
            <w:gridSpan w:val="3"/>
          </w:tcPr>
          <w:p w14:paraId="7A6507C3" w14:textId="77777777" w:rsidR="007E32B6" w:rsidRPr="0035640D" w:rsidRDefault="0095488E">
            <w:pPr>
              <w:spacing w:before="60" w:after="60" w:line="276" w:lineRule="auto"/>
              <w:ind w:left="39"/>
              <w:rPr>
                <w:rFonts w:ascii="Aptos" w:hAnsi="Aptos" w:cs="Arial"/>
                <w:sz w:val="20"/>
                <w:szCs w:val="20"/>
              </w:rPr>
            </w:pPr>
            <w:r w:rsidRPr="0035640D">
              <w:rPr>
                <w:rFonts w:ascii="Aptos" w:eastAsia="Calibri" w:hAnsi="Aptos" w:cs="Arial"/>
                <w:b/>
                <w:sz w:val="20"/>
                <w:szCs w:val="20"/>
              </w:rPr>
              <w:t>Lieferobjekte</w:t>
            </w:r>
            <w:r w:rsidRPr="0035640D">
              <w:rPr>
                <w:rFonts w:ascii="Aptos" w:eastAsia="Calibri" w:hAnsi="Aptos" w:cs="Arial"/>
                <w:sz w:val="20"/>
                <w:szCs w:val="20"/>
              </w:rPr>
              <w:t>: Version 1.0 SWISSGEO; Produkt-Roadmap; Transitionsplan.</w:t>
            </w:r>
          </w:p>
        </w:tc>
      </w:tr>
      <w:tr w:rsidR="007E32B6" w:rsidRPr="0035640D" w14:paraId="57DD4E73" w14:textId="77777777">
        <w:trPr>
          <w:trHeight w:val="392"/>
        </w:trPr>
        <w:tc>
          <w:tcPr>
            <w:tcW w:w="9354" w:type="dxa"/>
            <w:gridSpan w:val="3"/>
          </w:tcPr>
          <w:p w14:paraId="28301689" w14:textId="77777777" w:rsidR="007E32B6" w:rsidRPr="0035640D" w:rsidRDefault="0095488E">
            <w:pPr>
              <w:spacing w:before="60" w:after="60" w:line="276" w:lineRule="auto"/>
              <w:ind w:left="39"/>
              <w:rPr>
                <w:rFonts w:ascii="Aptos" w:hAnsi="Aptos" w:cs="Arial"/>
                <w:sz w:val="20"/>
                <w:szCs w:val="20"/>
              </w:rPr>
            </w:pPr>
            <w:r w:rsidRPr="0035640D">
              <w:rPr>
                <w:rFonts w:ascii="Aptos" w:eastAsia="Calibri" w:hAnsi="Aptos" w:cs="Arial"/>
                <w:b/>
                <w:color w:val="000000" w:themeColor="text1"/>
                <w:sz w:val="20"/>
                <w:szCs w:val="20"/>
              </w:rPr>
              <w:t>Erfüllungskriterium</w:t>
            </w:r>
            <w:r w:rsidRPr="0035640D">
              <w:rPr>
                <w:rFonts w:ascii="Aptos" w:eastAsia="Calibri" w:hAnsi="Aptos" w:cs="Arial"/>
                <w:sz w:val="20"/>
                <w:szCs w:val="20"/>
              </w:rPr>
              <w:t>: Version 1.0 in Betrieb</w:t>
            </w:r>
            <w:r w:rsidRPr="0035640D">
              <w:rPr>
                <w:rFonts w:ascii="Aptos" w:eastAsia="Calibri" w:hAnsi="Aptos" w:cs="Arial"/>
                <w:sz w:val="18"/>
                <w:szCs w:val="18"/>
              </w:rPr>
              <w:t>.</w:t>
            </w:r>
          </w:p>
        </w:tc>
      </w:tr>
      <w:tr w:rsidR="000025B6" w:rsidRPr="0035640D" w14:paraId="7EA21165" w14:textId="77777777" w:rsidTr="000025B6">
        <w:trPr>
          <w:trHeight w:val="392"/>
        </w:trPr>
        <w:tc>
          <w:tcPr>
            <w:tcW w:w="4677" w:type="dxa"/>
            <w:gridSpan w:val="2"/>
          </w:tcPr>
          <w:p w14:paraId="05B4FDCC" w14:textId="77777777" w:rsidR="000025B6" w:rsidRPr="0035640D" w:rsidRDefault="000025B6">
            <w:pPr>
              <w:spacing w:before="60" w:after="60" w:line="276" w:lineRule="auto"/>
              <w:ind w:left="39"/>
              <w:rPr>
                <w:rFonts w:ascii="Aptos" w:hAnsi="Aptos" w:cs="Arial"/>
                <w:color w:val="000000" w:themeColor="text1"/>
                <w:sz w:val="20"/>
                <w:szCs w:val="20"/>
              </w:rPr>
            </w:pPr>
            <w:r w:rsidRPr="0035640D">
              <w:rPr>
                <w:rFonts w:ascii="Aptos" w:eastAsia="Calibri" w:hAnsi="Aptos" w:cs="Arial"/>
                <w:b/>
                <w:color w:val="000000" w:themeColor="text1"/>
                <w:sz w:val="20"/>
                <w:szCs w:val="20"/>
              </w:rPr>
              <w:t>Zuständig seitens SGS</w:t>
            </w:r>
            <w:r w:rsidRPr="0035640D">
              <w:rPr>
                <w:rFonts w:ascii="Aptos" w:eastAsia="Calibri" w:hAnsi="Aptos" w:cs="Arial"/>
                <w:color w:val="000000" w:themeColor="text1"/>
                <w:sz w:val="20"/>
                <w:szCs w:val="20"/>
              </w:rPr>
              <w:t>: Beat Tschanz.</w:t>
            </w:r>
          </w:p>
        </w:tc>
        <w:tc>
          <w:tcPr>
            <w:tcW w:w="4677" w:type="dxa"/>
            <w:shd w:val="clear" w:color="auto" w:fill="DCEBE6"/>
          </w:tcPr>
          <w:p w14:paraId="601772F5" w14:textId="44D22B71" w:rsidR="000025B6" w:rsidRPr="0035640D" w:rsidRDefault="000025B6">
            <w:pPr>
              <w:spacing w:before="60" w:after="60" w:line="276" w:lineRule="auto"/>
              <w:ind w:left="39"/>
              <w:rPr>
                <w:rFonts w:ascii="Aptos" w:hAnsi="Aptos" w:cs="Arial"/>
                <w:color w:val="000000" w:themeColor="text1"/>
                <w:sz w:val="20"/>
                <w:szCs w:val="20"/>
              </w:rPr>
            </w:pPr>
            <w:bookmarkStart w:id="32" w:name="_Hlk177044453"/>
            <w:bookmarkEnd w:id="32"/>
            <w:r w:rsidRPr="0035640D">
              <w:rPr>
                <w:rFonts w:ascii="Aptos" w:eastAsia="Calibri" w:hAnsi="Aptos" w:cs="Arial"/>
                <w:b/>
                <w:color w:val="000000" w:themeColor="text1"/>
                <w:sz w:val="20"/>
                <w:szCs w:val="20"/>
              </w:rPr>
              <w:t xml:space="preserve">Kostenschätzung: </w:t>
            </w:r>
            <w:proofErr w:type="spellStart"/>
            <w:r w:rsidRPr="000025B6">
              <w:rPr>
                <w:rFonts w:ascii="Aptos" w:eastAsia="Calibri" w:hAnsi="Aptos" w:cs="Arial"/>
                <w:bCs/>
                <w:color w:val="000000" w:themeColor="text1"/>
                <w:sz w:val="20"/>
                <w:szCs w:val="20"/>
                <w:highlight w:val="yellow"/>
              </w:rPr>
              <w:t>tbd</w:t>
            </w:r>
            <w:proofErr w:type="spellEnd"/>
            <w:r w:rsidRPr="0035640D">
              <w:rPr>
                <w:rFonts w:ascii="Aptos" w:eastAsia="Calibri" w:hAnsi="Aptos" w:cs="Arial"/>
                <w:color w:val="000000" w:themeColor="text1"/>
                <w:sz w:val="20"/>
                <w:szCs w:val="20"/>
              </w:rPr>
              <w:t>.— SFr.</w:t>
            </w:r>
          </w:p>
        </w:tc>
      </w:tr>
    </w:tbl>
    <w:p w14:paraId="2A823B37" w14:textId="77777777" w:rsidR="007E32B6" w:rsidRPr="0035640D" w:rsidRDefault="007E32B6">
      <w:pPr>
        <w:tabs>
          <w:tab w:val="left" w:pos="284"/>
        </w:tabs>
        <w:spacing w:line="276" w:lineRule="auto"/>
        <w:rPr>
          <w:rFonts w:ascii="Aptos" w:hAnsi="Aptos" w:cs="Arial"/>
        </w:rPr>
      </w:pPr>
    </w:p>
    <w:p w14:paraId="612679A1" w14:textId="77777777" w:rsidR="007E32B6" w:rsidRPr="0035640D" w:rsidRDefault="0095488E">
      <w:pPr>
        <w:tabs>
          <w:tab w:val="left" w:pos="284"/>
        </w:tabs>
        <w:spacing w:line="276" w:lineRule="auto"/>
        <w:rPr>
          <w:rFonts w:ascii="Aptos" w:hAnsi="Aptos" w:cs="Arial"/>
          <w:b/>
          <w:bCs/>
        </w:rPr>
      </w:pPr>
      <w:r w:rsidRPr="0035640D">
        <w:rPr>
          <w:rFonts w:ascii="Aptos" w:hAnsi="Aptos" w:cs="Arial"/>
          <w:b/>
          <w:bCs/>
        </w:rPr>
        <w:t>BETRIEB</w:t>
      </w:r>
    </w:p>
    <w:p w14:paraId="1C150EBA" w14:textId="77777777" w:rsidR="007E32B6" w:rsidRPr="0035640D" w:rsidRDefault="0095488E">
      <w:pPr>
        <w:pStyle w:val="Listenabsatz"/>
        <w:numPr>
          <w:ilvl w:val="0"/>
          <w:numId w:val="1"/>
        </w:numPr>
        <w:tabs>
          <w:tab w:val="left" w:pos="284"/>
        </w:tabs>
        <w:spacing w:line="276" w:lineRule="auto"/>
        <w:ind w:left="284" w:hanging="284"/>
        <w:contextualSpacing w:val="0"/>
        <w:rPr>
          <w:rFonts w:ascii="Aptos" w:hAnsi="Aptos" w:cs="Arial"/>
        </w:rPr>
      </w:pPr>
      <w:r w:rsidRPr="0035640D">
        <w:rPr>
          <w:rFonts w:ascii="Aptos" w:hAnsi="Aptos" w:cs="Arial"/>
        </w:rPr>
        <w:t xml:space="preserve">Betrieb und Weiterentwicklung bestehender Komponenten und langfristige Integration in </w:t>
      </w:r>
      <w:r w:rsidRPr="00F15F67">
        <w:rPr>
          <w:rFonts w:ascii="Aptos" w:hAnsi="Aptos" w:cs="Arial"/>
        </w:rPr>
        <w:t>SWISSGEO</w:t>
      </w:r>
      <w:r w:rsidRPr="0035640D">
        <w:rPr>
          <w:rFonts w:ascii="Aptos" w:hAnsi="Aptos" w:cs="Arial"/>
        </w:rPr>
        <w:t xml:space="preserve"> oder mindestens die Vernetzung damit. Beispielsweise geobasisdaten.ch, der GeoHarvester, </w:t>
      </w:r>
      <w:proofErr w:type="spellStart"/>
      <w:r w:rsidRPr="0035640D">
        <w:rPr>
          <w:rFonts w:ascii="Aptos" w:hAnsi="Aptos" w:cs="Arial"/>
        </w:rPr>
        <w:t>Linked</w:t>
      </w:r>
      <w:proofErr w:type="spellEnd"/>
      <w:r w:rsidRPr="0035640D">
        <w:rPr>
          <w:rFonts w:ascii="Aptos" w:hAnsi="Aptos" w:cs="Arial"/>
        </w:rPr>
        <w:t xml:space="preserve"> Data, </w:t>
      </w:r>
      <w:r w:rsidRPr="0035640D">
        <w:rPr>
          <w:rFonts w:ascii="Aptos" w:hAnsi="Aptos" w:cs="Arial"/>
          <w:bCs/>
        </w:rPr>
        <w:t>ilimodels.ch</w:t>
      </w:r>
      <w:r w:rsidRPr="0035640D">
        <w:rPr>
          <w:rFonts w:ascii="Aptos" w:hAnsi="Aptos" w:cs="Arial"/>
        </w:rPr>
        <w:t xml:space="preserve"> oder sCHoolmaps.ch.</w:t>
      </w:r>
    </w:p>
    <w:p w14:paraId="6EE2A4FF" w14:textId="77777777" w:rsidR="007E32B6" w:rsidRPr="0035640D" w:rsidRDefault="007E32B6">
      <w:pPr>
        <w:tabs>
          <w:tab w:val="left" w:pos="284"/>
        </w:tabs>
        <w:spacing w:line="276" w:lineRule="auto"/>
        <w:rPr>
          <w:rFonts w:ascii="Aptos" w:hAnsi="Aptos" w:cs="Arial"/>
        </w:rPr>
      </w:pPr>
    </w:p>
    <w:sectPr w:rsidR="007E32B6" w:rsidRPr="0035640D">
      <w:footerReference w:type="default" r:id="rId11"/>
      <w:headerReference w:type="first" r:id="rId12"/>
      <w:footerReference w:type="first" r:id="rId13"/>
      <w:pgSz w:w="11906" w:h="16838"/>
      <w:pgMar w:top="1417" w:right="1417" w:bottom="1134" w:left="1418"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F1BD" w14:textId="77777777" w:rsidR="0048588B" w:rsidRDefault="0048588B">
      <w:pPr>
        <w:spacing w:after="0" w:line="240" w:lineRule="auto"/>
      </w:pPr>
      <w:r>
        <w:separator/>
      </w:r>
    </w:p>
  </w:endnote>
  <w:endnote w:type="continuationSeparator" w:id="0">
    <w:p w14:paraId="3F2B96B5" w14:textId="77777777" w:rsidR="0048588B" w:rsidRDefault="0048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40848312"/>
      <w:docPartObj>
        <w:docPartGallery w:val="Page Numbers (Bottom of Page)"/>
        <w:docPartUnique/>
      </w:docPartObj>
    </w:sdtPr>
    <w:sdtContent>
      <w:p w14:paraId="38F38901" w14:textId="77777777" w:rsidR="007E32B6" w:rsidRPr="002568FB" w:rsidRDefault="007E32B6">
        <w:pPr>
          <w:pStyle w:val="Fuzeile"/>
          <w:jc w:val="center"/>
          <w:rPr>
            <w:rFonts w:ascii="Aptos" w:hAnsi="Aptos" w:cs="Arial"/>
            <w:sz w:val="16"/>
            <w:szCs w:val="16"/>
          </w:rPr>
        </w:pPr>
      </w:p>
      <w:p w14:paraId="71DBD04A" w14:textId="77777777" w:rsidR="007E32B6" w:rsidRPr="002568FB" w:rsidRDefault="0095488E">
        <w:pPr>
          <w:pStyle w:val="Fuzeile"/>
          <w:jc w:val="center"/>
          <w:rPr>
            <w:rFonts w:ascii="Aptos" w:hAnsi="Aptos" w:cs="Arial"/>
            <w:sz w:val="16"/>
            <w:szCs w:val="16"/>
          </w:rPr>
        </w:pPr>
        <w:r w:rsidRPr="002568FB">
          <w:rPr>
            <w:rFonts w:ascii="Aptos" w:hAnsi="Aptos"/>
            <w:sz w:val="20"/>
            <w:szCs w:val="20"/>
          </w:rPr>
          <w:fldChar w:fldCharType="begin"/>
        </w:r>
        <w:r w:rsidRPr="002568FB">
          <w:rPr>
            <w:rFonts w:ascii="Aptos" w:hAnsi="Aptos"/>
            <w:sz w:val="20"/>
            <w:szCs w:val="20"/>
          </w:rPr>
          <w:instrText xml:space="preserve"> PAGE </w:instrText>
        </w:r>
        <w:r w:rsidRPr="002568FB">
          <w:rPr>
            <w:rFonts w:ascii="Aptos" w:hAnsi="Aptos"/>
            <w:sz w:val="20"/>
            <w:szCs w:val="20"/>
          </w:rPr>
          <w:fldChar w:fldCharType="separate"/>
        </w:r>
        <w:r w:rsidRPr="002568FB">
          <w:rPr>
            <w:rFonts w:ascii="Aptos" w:hAnsi="Aptos"/>
            <w:sz w:val="20"/>
            <w:szCs w:val="20"/>
          </w:rPr>
          <w:t>13</w:t>
        </w:r>
        <w:r w:rsidRPr="002568FB">
          <w:rPr>
            <w:rFonts w:ascii="Aptos" w:hAnsi="Apto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430271981"/>
      <w:docPartObj>
        <w:docPartGallery w:val="Page Numbers (Bottom of Page)"/>
        <w:docPartUnique/>
      </w:docPartObj>
    </w:sdtPr>
    <w:sdtContent>
      <w:p w14:paraId="49B304B4" w14:textId="77777777" w:rsidR="007E32B6" w:rsidRPr="002568FB" w:rsidRDefault="007E32B6">
        <w:pPr>
          <w:pStyle w:val="Fuzeile"/>
          <w:jc w:val="center"/>
          <w:rPr>
            <w:rFonts w:ascii="Aptos" w:hAnsi="Aptos" w:cs="Arial"/>
            <w:sz w:val="16"/>
            <w:szCs w:val="16"/>
          </w:rPr>
        </w:pPr>
      </w:p>
      <w:p w14:paraId="73C84FEB" w14:textId="77777777" w:rsidR="007E32B6" w:rsidRPr="002568FB" w:rsidRDefault="0095488E">
        <w:pPr>
          <w:pStyle w:val="Fuzeile"/>
          <w:jc w:val="center"/>
          <w:rPr>
            <w:rFonts w:ascii="Aptos" w:hAnsi="Aptos" w:cs="Arial"/>
            <w:sz w:val="16"/>
            <w:szCs w:val="16"/>
          </w:rPr>
        </w:pPr>
        <w:r w:rsidRPr="002568FB">
          <w:rPr>
            <w:rFonts w:ascii="Aptos" w:hAnsi="Aptos"/>
            <w:sz w:val="20"/>
            <w:szCs w:val="20"/>
          </w:rPr>
          <w:fldChar w:fldCharType="begin"/>
        </w:r>
        <w:r w:rsidRPr="002568FB">
          <w:rPr>
            <w:rFonts w:ascii="Aptos" w:hAnsi="Aptos"/>
            <w:sz w:val="20"/>
            <w:szCs w:val="20"/>
          </w:rPr>
          <w:instrText xml:space="preserve"> PAGE </w:instrText>
        </w:r>
        <w:r w:rsidRPr="002568FB">
          <w:rPr>
            <w:rFonts w:ascii="Aptos" w:hAnsi="Aptos"/>
            <w:sz w:val="20"/>
            <w:szCs w:val="20"/>
          </w:rPr>
          <w:fldChar w:fldCharType="separate"/>
        </w:r>
        <w:r w:rsidRPr="002568FB">
          <w:rPr>
            <w:rFonts w:ascii="Aptos" w:hAnsi="Aptos"/>
            <w:sz w:val="20"/>
            <w:szCs w:val="20"/>
          </w:rPr>
          <w:t>1</w:t>
        </w:r>
        <w:r w:rsidRPr="002568FB">
          <w:rPr>
            <w:rFonts w:ascii="Aptos" w:hAnsi="Apto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B2D8" w14:textId="77777777" w:rsidR="0048588B" w:rsidRDefault="0048588B">
      <w:pPr>
        <w:spacing w:after="0" w:line="240" w:lineRule="auto"/>
      </w:pPr>
      <w:r>
        <w:separator/>
      </w:r>
    </w:p>
  </w:footnote>
  <w:footnote w:type="continuationSeparator" w:id="0">
    <w:p w14:paraId="3E7BF520" w14:textId="77777777" w:rsidR="0048588B" w:rsidRDefault="0048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FEAB" w14:textId="77777777" w:rsidR="007E32B6" w:rsidRDefault="0095488E">
    <w:pPr>
      <w:pStyle w:val="Kopfzeile"/>
      <w:ind w:left="-142"/>
    </w:pPr>
    <w:r>
      <w:rPr>
        <w:noProof/>
      </w:rPr>
      <w:drawing>
        <wp:inline distT="0" distB="0" distL="0" distR="0" wp14:anchorId="08F7CF05" wp14:editId="25CD9D74">
          <wp:extent cx="3234690" cy="539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3234690" cy="539750"/>
                  </a:xfrm>
                  <a:prstGeom prst="rect">
                    <a:avLst/>
                  </a:prstGeom>
                  <a:noFill/>
                </pic:spPr>
              </pic:pic>
            </a:graphicData>
          </a:graphic>
        </wp:inline>
      </w:drawing>
    </w:r>
  </w:p>
  <w:p w14:paraId="2388D35E" w14:textId="77777777" w:rsidR="007E32B6" w:rsidRDefault="007E32B6">
    <w:pPr>
      <w:pStyle w:val="Kopfzeil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AE5"/>
    <w:multiLevelType w:val="multilevel"/>
    <w:tmpl w:val="85FC8A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815209"/>
    <w:multiLevelType w:val="multilevel"/>
    <w:tmpl w:val="F0C44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16170969">
    <w:abstractNumId w:val="0"/>
  </w:num>
  <w:num w:numId="2" w16cid:durableId="77204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B6"/>
    <w:rsid w:val="000025B6"/>
    <w:rsid w:val="00033AE2"/>
    <w:rsid w:val="000B0EA6"/>
    <w:rsid w:val="001039B6"/>
    <w:rsid w:val="00153C76"/>
    <w:rsid w:val="002568FB"/>
    <w:rsid w:val="002747D3"/>
    <w:rsid w:val="00332A4C"/>
    <w:rsid w:val="0035640D"/>
    <w:rsid w:val="00384F88"/>
    <w:rsid w:val="0048588B"/>
    <w:rsid w:val="0068682C"/>
    <w:rsid w:val="007775C5"/>
    <w:rsid w:val="007E32B6"/>
    <w:rsid w:val="0087672D"/>
    <w:rsid w:val="00877FFB"/>
    <w:rsid w:val="0095488E"/>
    <w:rsid w:val="009B6B34"/>
    <w:rsid w:val="00B07016"/>
    <w:rsid w:val="00B22600"/>
    <w:rsid w:val="00BF1A26"/>
    <w:rsid w:val="00CC3512"/>
    <w:rsid w:val="00D03425"/>
    <w:rsid w:val="00DE13C0"/>
    <w:rsid w:val="00E37155"/>
    <w:rsid w:val="00F15F67"/>
    <w:rsid w:val="00F32032"/>
    <w:rsid w:val="00FE1AB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ADAA"/>
  <w15:docId w15:val="{545AA589-E09F-4783-BC59-C3AFF55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626"/>
    <w:pPr>
      <w:suppressAutoHyphens w:val="0"/>
      <w:spacing w:after="160" w:line="259" w:lineRule="auto"/>
    </w:p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spacing w:before="480" w:after="240" w:line="276" w:lineRule="auto"/>
      <w:outlineLvl w:val="2"/>
    </w:pPr>
    <w:rPr>
      <w:rFonts w:ascii="Arial" w:hAnsi="Arial" w:cs="Arial"/>
      <w:color w:val="D66A3A"/>
      <w:sz w:val="28"/>
      <w:szCs w:val="28"/>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berschrift2Zchn">
    <w:name w:val="Überschrift 2 Zchn"/>
    <w:basedOn w:val="Absatz-Standardschriftart"/>
    <w:link w:val="berschrift2"/>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hAnsi="Arial" w:cs="Arial"/>
      <w:color w:val="D66A3A"/>
      <w:sz w:val="28"/>
      <w:szCs w:val="28"/>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FunotentextZchn">
    <w:name w:val="Fußnotentext Zchn"/>
    <w:link w:val="Funotentext"/>
    <w:uiPriority w:val="99"/>
    <w:qFormat/>
    <w:rPr>
      <w:sz w:val="18"/>
    </w:rPr>
  </w:style>
  <w:style w:type="character" w:customStyle="1" w:styleId="FootnoteCharactersuser">
    <w:name w:val="Footnote Characters (user)"/>
    <w:basedOn w:val="Absatz-Standardschriftart"/>
    <w:uiPriority w:val="99"/>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link w:val="Endnotentext"/>
    <w:uiPriority w:val="99"/>
    <w:qFormat/>
    <w:rPr>
      <w:sz w:val="20"/>
    </w:rPr>
  </w:style>
  <w:style w:type="character" w:customStyle="1" w:styleId="EndnoteCharactersuser">
    <w:name w:val="Endnote Characters (user)"/>
    <w:basedOn w:val="Absatz-Standardschriftart"/>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Pr>
      <w:color w:val="0563C1" w:themeColor="hyperlink"/>
      <w:u w:val="single"/>
    </w:rPr>
  </w:style>
  <w:style w:type="character" w:customStyle="1" w:styleId="NurTextZchn">
    <w:name w:val="Nur Text Zchn"/>
    <w:basedOn w:val="Absatz-Standardschriftart"/>
    <w:link w:val="NurText"/>
    <w:uiPriority w:val="99"/>
    <w:qFormat/>
    <w:rPr>
      <w:rFonts w:ascii="Calibri" w:hAnsi="Calibri"/>
      <w:szCs w:val="21"/>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styleId="NichtaufgelsteErwhnung">
    <w:name w:val="Unresolved Mention"/>
    <w:basedOn w:val="Absatz-Standardschriftart"/>
    <w:uiPriority w:val="99"/>
    <w:semiHidden/>
    <w:unhideWhenUsed/>
    <w:qFormat/>
    <w:rsid w:val="00046FFA"/>
    <w:rPr>
      <w:color w:val="605E5C"/>
      <w:shd w:val="clear" w:color="auto" w:fill="E1DFDD"/>
    </w:rPr>
  </w:style>
  <w:style w:type="character" w:styleId="BesuchterLink">
    <w:name w:val="FollowedHyperlink"/>
    <w:basedOn w:val="Absatz-Standardschriftart"/>
    <w:uiPriority w:val="99"/>
    <w:semiHidden/>
    <w:unhideWhenUsed/>
    <w:rsid w:val="00FE531F"/>
    <w:rPr>
      <w:color w:val="954F72" w:themeColor="followedHyperlink"/>
      <w:u w:val="single"/>
    </w:rPr>
  </w:style>
  <w:style w:type="character" w:styleId="Zeilennummer">
    <w:name w:val="line number"/>
    <w:basedOn w:val="Absatz-Standardschriftart"/>
    <w:uiPriority w:val="99"/>
    <w:semiHidden/>
    <w:unhideWhenUsed/>
    <w:rsid w:val="00D269E8"/>
  </w:style>
  <w:style w:type="character" w:customStyle="1" w:styleId="IndexLink">
    <w:name w:val="Index Link"/>
    <w:qFormat/>
  </w:style>
  <w:style w:type="character" w:customStyle="1" w:styleId="Formularfeld2Zchn">
    <w:name w:val="Formularfeld2 Zchn"/>
    <w:basedOn w:val="Absatz-Standardschriftart"/>
    <w:link w:val="Formularfeld2"/>
    <w:qFormat/>
    <w:rsid w:val="00341FE1"/>
    <w:rPr>
      <w:rFonts w:ascii="Aptos" w:hAnsi="Apto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paragraph" w:customStyle="1" w:styleId="Index">
    <w:name w:val="Index"/>
    <w:basedOn w:val="Standard"/>
    <w:qFormat/>
    <w:pPr>
      <w:suppressLineNumbers/>
    </w:pPr>
    <w:rPr>
      <w:rFonts w:cs="Noto Sans"/>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qFormat/>
    <w:pPr>
      <w:spacing w:beforeAutospacing="1" w:afterAutospacing="1" w:line="240" w:lineRule="auto"/>
    </w:pPr>
    <w:rPr>
      <w:rFonts w:ascii="Times New Roman" w:eastAsia="Times New Roman" w:hAnsi="Times New Roman" w:cs="Times New Roman"/>
      <w:sz w:val="24"/>
      <w:szCs w:val="24"/>
      <w:lang w:eastAsia="de-CH"/>
    </w:rPr>
  </w:style>
  <w:style w:type="paragraph" w:styleId="Indexberschrift">
    <w:name w:val="index heading"/>
    <w:basedOn w:val="Heading"/>
  </w:style>
  <w:style w:type="paragraph" w:styleId="Inhaltsverzeichnisberschrift">
    <w:name w:val="TOC Heading"/>
    <w:basedOn w:val="berschrift1"/>
    <w:next w:val="Standard"/>
    <w:uiPriority w:val="39"/>
    <w:unhideWhenUsed/>
    <w:qFormat/>
    <w:pPr>
      <w:outlineLvl w:val="9"/>
    </w:pPr>
    <w:rPr>
      <w:lang w:eastAsia="de-CH"/>
    </w:rPr>
  </w:style>
  <w:style w:type="paragraph" w:styleId="Verzeichnis1">
    <w:name w:val="toc 1"/>
    <w:basedOn w:val="Standard"/>
    <w:next w:val="Standard"/>
    <w:uiPriority w:val="39"/>
    <w:unhideWhenUsed/>
    <w:pPr>
      <w:spacing w:after="100"/>
    </w:pPr>
  </w:style>
  <w:style w:type="paragraph" w:styleId="NurText">
    <w:name w:val="Plain Text"/>
    <w:basedOn w:val="Standard"/>
    <w:link w:val="NurTextZchn"/>
    <w:uiPriority w:val="99"/>
    <w:unhideWhenUsed/>
    <w:qFormat/>
    <w:pPr>
      <w:spacing w:after="0" w:line="240" w:lineRule="auto"/>
    </w:pPr>
    <w:rPr>
      <w:rFonts w:ascii="Calibri" w:hAnsi="Calibri"/>
      <w:szCs w:val="21"/>
    </w:rPr>
  </w:style>
  <w:style w:type="paragraph" w:customStyle="1" w:styleId="docdata">
    <w:name w:val="docdata"/>
    <w:basedOn w:val="Standard"/>
    <w:qFormat/>
    <w:pPr>
      <w:spacing w:beforeAutospacing="1" w:afterAutospacing="1" w:line="240" w:lineRule="auto"/>
    </w:pPr>
    <w:rPr>
      <w:rFonts w:ascii="Times New Roman" w:eastAsia="Times New Roman" w:hAnsi="Times New Roman" w:cs="Times New Roman"/>
      <w:sz w:val="24"/>
      <w:szCs w:val="24"/>
      <w:lang w:eastAsia="de-CH"/>
    </w:rPr>
  </w:style>
  <w:style w:type="paragraph" w:styleId="berarbeitung">
    <w:name w:val="Revision"/>
    <w:uiPriority w:val="99"/>
    <w:semiHidden/>
    <w:qFormat/>
  </w:style>
  <w:style w:type="paragraph" w:styleId="Kommentartext">
    <w:name w:val="annotation text"/>
    <w:basedOn w:val="Standard"/>
    <w:link w:val="KommentartextZchn"/>
    <w:uiPriority w:val="99"/>
    <w:unhideWhenUsed/>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customStyle="1" w:styleId="Default">
    <w:name w:val="Default"/>
    <w:qFormat/>
    <w:rsid w:val="00536F64"/>
    <w:rPr>
      <w:rFonts w:ascii="Arial" w:eastAsia="Calibri" w:hAnsi="Arial" w:cs="Arial"/>
      <w:color w:val="000000"/>
      <w:sz w:val="24"/>
      <w:szCs w:val="24"/>
    </w:rPr>
  </w:style>
  <w:style w:type="paragraph" w:customStyle="1" w:styleId="Formularfeld2">
    <w:name w:val="Formularfeld2"/>
    <w:basedOn w:val="Standard"/>
    <w:link w:val="Formularfeld2Zchn"/>
    <w:qFormat/>
    <w:rsid w:val="00341FE1"/>
    <w:pPr>
      <w:spacing w:before="60" w:after="60" w:line="276" w:lineRule="auto"/>
      <w:jc w:val="center"/>
    </w:pPr>
    <w:rPr>
      <w:rFonts w:ascii="Aptos" w:hAnsi="Aptos"/>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000000"/>
          <w:left w:val="none" w:sz="0" w:space="0" w:color="000000"/>
          <w:bottom w:val="single" w:sz="4" w:space="0" w:color="5B9BD5" w:themeColor="accent5"/>
          <w:right w:val="none" w:sz="0"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45A8D" w:themeColor="accent5" w:themeShade="95"/>
        <w:sz w:val="22"/>
      </w:rPr>
      <w:tblPr/>
      <w:tcPr>
        <w:tcBorders>
          <w:top w:val="none" w:sz="0" w:space="0" w:color="000000"/>
          <w:left w:val="none" w:sz="0" w:space="0" w:color="000000"/>
          <w:bottom w:val="none" w:sz="0"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000000"/>
          <w:left w:val="single" w:sz="4" w:space="0" w:color="5B9BD5" w:themeColor="accent5"/>
          <w:bottom w:val="none" w:sz="0" w:space="0" w:color="000000"/>
          <w:right w:val="none" w:sz="0"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000000"/>
          <w:left w:val="none" w:sz="0" w:space="0" w:color="000000"/>
          <w:bottom w:val="single" w:sz="4" w:space="0" w:color="5B9BD5" w:themeColor="accent5"/>
          <w:right w:val="none" w:sz="0"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000000"/>
          <w:left w:val="none" w:sz="0" w:space="0" w:color="000000"/>
          <w:bottom w:val="none" w:sz="0"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000000"/>
          <w:left w:val="single" w:sz="4" w:space="0" w:color="5B9BD5" w:themeColor="accent5"/>
          <w:bottom w:val="none" w:sz="0" w:space="0" w:color="000000"/>
          <w:right w:val="none" w:sz="0"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CH"/>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sz w:val="20"/>
      <w:szCs w:val="20"/>
      <w:lang w:eastAsia="de-CH"/>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sz w:val="20"/>
      <w:szCs w:val="20"/>
      <w:lang w:eastAsia="de-CH"/>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sz w:val="20"/>
      <w:szCs w:val="20"/>
      <w:lang w:eastAsia="de-CH"/>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sz w:val="20"/>
      <w:szCs w:val="20"/>
      <w:lang w:eastAsia="de-CH"/>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sz w:val="20"/>
      <w:szCs w:val="20"/>
      <w:lang w:eastAsia="de-CH"/>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sz w:val="20"/>
      <w:szCs w:val="20"/>
      <w:lang w:eastAsia="de-CH"/>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sz w:val="20"/>
      <w:szCs w:val="20"/>
      <w:lang w:eastAsia="de-CH"/>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sz w:val="20"/>
      <w:szCs w:val="20"/>
      <w:lang w:eastAsia="de-CH"/>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sz w:val="20"/>
      <w:szCs w:val="20"/>
      <w:lang w:eastAsia="de-CH"/>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sz w:val="20"/>
      <w:szCs w:val="20"/>
      <w:lang w:eastAsia="de-CH"/>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sz w:val="20"/>
      <w:szCs w:val="20"/>
      <w:lang w:eastAsia="de-CH"/>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sz w:val="20"/>
      <w:szCs w:val="20"/>
      <w:lang w:eastAsia="de-CH"/>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wissgeo.ch/info/" TargetMode="External"/><Relationship Id="rId4" Type="http://schemas.openxmlformats.org/officeDocument/2006/relationships/settings" Target="settings.xml"/><Relationship Id="rId9" Type="http://schemas.openxmlformats.org/officeDocument/2006/relationships/hyperlink" Target="https://www.bk.admin.ch/bk/de/home/digitale-transformation-ikt-lenkung/datenoekosystem_schweiz/prototypen/swisstopo.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F088-31D8-4A2D-8408-9E692075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3890</Words>
  <Characters>24508</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Staub</dc:creator>
  <dc:description/>
  <cp:lastModifiedBy>Peter Staub</cp:lastModifiedBy>
  <cp:revision>12</cp:revision>
  <cp:lastPrinted>2025-10-15T16:36:00Z</cp:lastPrinted>
  <dcterms:created xsi:type="dcterms:W3CDTF">2025-10-15T16:45:00Z</dcterms:created>
  <dcterms:modified xsi:type="dcterms:W3CDTF">2025-10-16T12:08:00Z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ActionId">
    <vt:lpwstr>aa39ff7d-77ab-429f-80f9-e8b9455bd2f6</vt:lpwstr>
  </property>
  <property fmtid="{D5CDD505-2E9C-101B-9397-08002B2CF9AE}" pid="3" name="MSIP_Label_245c3252-146d-46f3-8062-82cd8c8d7e7d_ContentBits">
    <vt:lpwstr>0</vt:lpwstr>
  </property>
  <property fmtid="{D5CDD505-2E9C-101B-9397-08002B2CF9AE}" pid="4" name="MSIP_Label_245c3252-146d-46f3-8062-82cd8c8d7e7d_Enabled">
    <vt:lpwstr>true</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etDate">
    <vt:lpwstr>2025-09-15T12:15:14Z</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Tag">
    <vt:lpwstr>10, 0, 1, 1</vt:lpwstr>
  </property>
</Properties>
</file>